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rPr>
          <w:rFonts w:cs="Calibri" w:asciiTheme="minorEastAsia" w:hAnsiTheme="minorEastAsia" w:eastAsiaTheme="minorEastAsia"/>
          <w:szCs w:val="21"/>
        </w:rPr>
      </w:pPr>
      <w:r>
        <w:rPr>
          <w:rFonts w:cs="Calibri" w:asciiTheme="minorEastAsia" w:hAnsiTheme="minorEastAsia" w:eastAsiaTheme="minorEastAsia"/>
          <w:szCs w:val="21"/>
        </w:rPr>
        <w:t>备案号：Jxxxx</w:t>
      </w:r>
      <w:r>
        <w:rPr>
          <w:rFonts w:cs="Calibri" w:asciiTheme="minorEastAsia" w:hAnsiTheme="minorEastAsia" w:eastAsiaTheme="minorEastAsia"/>
          <w:b/>
          <w:spacing w:val="-10"/>
          <w:szCs w:val="21"/>
        </w:rPr>
        <w:t>—</w:t>
      </w:r>
      <w:r>
        <w:rPr>
          <w:rFonts w:cs="Calibri" w:asciiTheme="minorEastAsia" w:hAnsiTheme="minorEastAsia" w:eastAsiaTheme="minorEastAsia"/>
          <w:szCs w:val="21"/>
        </w:rPr>
        <w:t>20xx</w:t>
      </w:r>
    </w:p>
    <w:p>
      <w:pPr>
        <w:spacing w:line="800" w:lineRule="exact"/>
        <w:ind w:firstLine="840" w:firstLineChars="100"/>
        <w:jc w:val="right"/>
        <w:rPr>
          <w:rFonts w:hAnsi="Calibri" w:cs="Calibri" w:asciiTheme="minorHAnsi"/>
          <w:outline/>
          <w:color w:val="000000"/>
          <w:sz w:val="10"/>
        </w:rPr>
      </w:pPr>
      <w:r>
        <w:rPr>
          <w:rFonts w:hAnsi="Calibri" w:cs="Calibri" w:asciiTheme="minorHAnsi"/>
          <w:outline/>
          <w:color w:val="000000"/>
          <w:sz w:val="84"/>
        </w:rPr>
        <w:t>DB</w:t>
      </w:r>
    </w:p>
    <w:p>
      <w:pPr>
        <w:spacing w:line="800" w:lineRule="exact"/>
        <w:ind w:firstLine="883"/>
        <w:jc w:val="center"/>
        <w:rPr>
          <w:rFonts w:hAnsi="Calibri" w:cs="Calibri" w:asciiTheme="minorHAnsi"/>
          <w:b/>
          <w:sz w:val="44"/>
        </w:rPr>
      </w:pPr>
      <w:r>
        <w:rPr>
          <w:rFonts w:hAnsi="Calibri" w:cs="Calibri" w:asciiTheme="minorHAnsi"/>
          <w:b/>
          <w:sz w:val="44"/>
        </w:rPr>
        <w:t>重庆市工程建设标准</w:t>
      </w:r>
    </w:p>
    <w:p>
      <w:pPr>
        <w:spacing w:line="800" w:lineRule="exact"/>
        <w:ind w:firstLine="883"/>
        <w:jc w:val="center"/>
        <w:rPr>
          <w:rFonts w:hAnsi="Calibri" w:cs="Calibri" w:asciiTheme="minorHAnsi"/>
          <w:b/>
          <w:sz w:val="44"/>
        </w:rPr>
      </w:pPr>
    </w:p>
    <w:p>
      <w:pPr>
        <w:spacing w:line="360" w:lineRule="auto"/>
        <w:ind w:firstLine="560"/>
        <w:jc w:val="right"/>
        <w:rPr>
          <w:rFonts w:hAnsi="Calibri" w:cs="Calibri" w:asciiTheme="minorHAnsi"/>
          <w:bCs/>
          <w:sz w:val="28"/>
        </w:rPr>
      </w:pPr>
      <w:r>
        <w:rPr>
          <w:rFonts w:hAnsi="Calibri" w:cs="Calibri" w:asciiTheme="minorHAnsi"/>
          <w:bCs/>
          <w:sz w:val="28"/>
        </w:rPr>
        <w:t>DBJxx-xx-20xx</w:t>
      </w:r>
    </w:p>
    <w:p>
      <w:pPr>
        <w:ind w:firstLine="560"/>
        <w:rPr>
          <w:rFonts w:hAnsi="Calibri" w:cs="Calibri" w:asciiTheme="minorHAnsi"/>
          <w:sz w:val="28"/>
        </w:rPr>
      </w:pPr>
      <w:r>
        <w:rPr>
          <w:rFonts w:hAnsi="Calibri" w:cs="Calibri" w:asciiTheme="minorHAnsi"/>
          <w:sz w:val="28"/>
        </w:rPr>
        <w:pict>
          <v:line id="直线 46" o:spid="_x0000_s1026" o:spt="20" style="position:absolute;left:0pt;flip:x;margin-left:-82.45pt;margin-top:5.25pt;height:0pt;width:594pt;z-index:251659264;mso-width-relative:page;mso-height-relative:page;" coordsize="21600,21600" o:gfxdata="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pOGV9oAAAALAQAADwAAAAAAAAABACAA&#10;AAAiAAAAZHJzL2Rvd25yZXYueG1sUEsBAhQAFAAAAAgAh07iQHHCc3fSAQAAmwMAAA4AAAAAAAAA&#10;AQAgAAAAKQEAAGRycy9lMm9Eb2MueG1sUEsFBgAAAAAGAAYAWQEAAG0FAAAAAA==&#10;">
            <v:path arrowok="t"/>
            <v:fill focussize="0,0"/>
            <v:stroke weight="0.5pt"/>
            <v:imagedata o:title=""/>
            <o:lock v:ext="edit"/>
          </v:line>
        </w:pict>
      </w:r>
    </w:p>
    <w:p>
      <w:pPr>
        <w:spacing w:line="480" w:lineRule="auto"/>
        <w:ind w:firstLine="964"/>
        <w:jc w:val="center"/>
        <w:rPr>
          <w:rFonts w:hAnsi="Calibri" w:cs="Calibri" w:asciiTheme="minorHAnsi"/>
          <w:b/>
          <w:sz w:val="48"/>
          <w:szCs w:val="48"/>
        </w:rPr>
      </w:pPr>
      <w:r>
        <w:rPr>
          <w:rFonts w:hAnsi="Calibri" w:cs="Calibri" w:asciiTheme="minorHAnsi"/>
          <w:b/>
          <w:sz w:val="48"/>
          <w:szCs w:val="48"/>
        </w:rPr>
        <w:t>装配式开孔钢板组合剪力墙结构住宅</w:t>
      </w:r>
    </w:p>
    <w:p>
      <w:pPr>
        <w:spacing w:line="360" w:lineRule="auto"/>
        <w:ind w:firstLine="964"/>
        <w:jc w:val="center"/>
        <w:rPr>
          <w:rFonts w:hAnsi="Calibri" w:cs="Calibri" w:asciiTheme="minorHAnsi"/>
          <w:b/>
          <w:sz w:val="48"/>
          <w:szCs w:val="48"/>
        </w:rPr>
      </w:pPr>
      <w:r>
        <w:rPr>
          <w:rFonts w:hAnsi="Calibri" w:cs="Calibri" w:asciiTheme="minorHAnsi"/>
          <w:b/>
          <w:sz w:val="48"/>
          <w:szCs w:val="48"/>
        </w:rPr>
        <w:t>技术标准</w:t>
      </w:r>
    </w:p>
    <w:p>
      <w:pPr>
        <w:ind w:firstLine="0" w:firstLineChars="0"/>
        <w:jc w:val="center"/>
        <w:rPr>
          <w:b/>
          <w:bCs/>
          <w:spacing w:val="20"/>
          <w:sz w:val="28"/>
        </w:rPr>
      </w:pPr>
      <w:r>
        <w:rPr>
          <w:b/>
          <w:bCs/>
          <w:spacing w:val="20"/>
          <w:sz w:val="28"/>
        </w:rPr>
        <w:t>Technical standard for assembled residential buildings with composite</w:t>
      </w:r>
      <w:r>
        <w:rPr>
          <w:rFonts w:hint="eastAsia"/>
          <w:b/>
          <w:bCs/>
          <w:spacing w:val="20"/>
          <w:sz w:val="28"/>
        </w:rPr>
        <w:t xml:space="preserve"> </w:t>
      </w:r>
      <w:r>
        <w:rPr>
          <w:b/>
          <w:bCs/>
          <w:spacing w:val="20"/>
          <w:sz w:val="28"/>
        </w:rPr>
        <w:t>trepanning steel plat</w:t>
      </w:r>
      <w:r>
        <w:rPr>
          <w:rFonts w:hint="eastAsia"/>
          <w:b/>
          <w:bCs/>
          <w:spacing w:val="20"/>
          <w:sz w:val="28"/>
        </w:rPr>
        <w:t xml:space="preserve">es and </w:t>
      </w:r>
      <w:r>
        <w:rPr>
          <w:b/>
          <w:bCs/>
          <w:spacing w:val="20"/>
          <w:sz w:val="28"/>
        </w:rPr>
        <w:t>concrete shear walls</w:t>
      </w:r>
    </w:p>
    <w:p>
      <w:pPr>
        <w:ind w:firstLine="560"/>
        <w:rPr>
          <w:rFonts w:hAnsi="Calibri" w:cs="Calibri" w:asciiTheme="minorHAnsi"/>
          <w:sz w:val="28"/>
        </w:rPr>
      </w:pPr>
    </w:p>
    <w:p>
      <w:pPr>
        <w:ind w:firstLine="560"/>
        <w:rPr>
          <w:rFonts w:hAnsi="Calibri" w:cs="Calibri" w:asciiTheme="minorHAnsi"/>
          <w:sz w:val="28"/>
        </w:rPr>
      </w:pPr>
    </w:p>
    <w:p>
      <w:pPr>
        <w:ind w:firstLine="0" w:firstLineChars="0"/>
        <w:rPr>
          <w:rFonts w:hAnsi="Calibri" w:cs="Calibri" w:asciiTheme="minorHAnsi"/>
          <w:sz w:val="28"/>
        </w:rPr>
      </w:pPr>
    </w:p>
    <w:p>
      <w:pPr>
        <w:ind w:firstLine="560"/>
        <w:rPr>
          <w:rFonts w:hAnsi="Calibri" w:cs="Calibri" w:asciiTheme="minorHAnsi"/>
          <w:sz w:val="28"/>
        </w:rPr>
      </w:pPr>
    </w:p>
    <w:p>
      <w:pPr>
        <w:pStyle w:val="9"/>
        <w:spacing w:line="360" w:lineRule="auto"/>
        <w:ind w:firstLine="880"/>
        <w:jc w:val="center"/>
        <w:rPr>
          <w:rFonts w:hAnsi="Calibri" w:cs="Calibri" w:asciiTheme="minorHAnsi"/>
          <w:b/>
          <w:sz w:val="44"/>
        </w:rPr>
      </w:pPr>
      <w:r>
        <w:rPr>
          <w:rFonts w:hAnsi="Calibri" w:cs="Calibri" w:asciiTheme="minorHAnsi"/>
          <w:sz w:val="44"/>
        </w:rPr>
        <w:t>（</w:t>
      </w:r>
      <w:r>
        <w:rPr>
          <w:rFonts w:hAnsi="Calibri" w:cs="Calibri" w:asciiTheme="minorHAnsi"/>
          <w:b/>
          <w:sz w:val="36"/>
          <w:szCs w:val="36"/>
        </w:rPr>
        <w:t>征求意见稿</w:t>
      </w:r>
      <w:r>
        <w:rPr>
          <w:rFonts w:hAnsi="Calibri" w:cs="Calibri" w:asciiTheme="minorHAnsi"/>
          <w:sz w:val="44"/>
        </w:rPr>
        <w:t>）</w:t>
      </w:r>
    </w:p>
    <w:p>
      <w:pPr>
        <w:ind w:firstLine="0" w:firstLineChars="0"/>
        <w:rPr>
          <w:rFonts w:hAnsi="Calibri" w:cs="Calibri" w:asciiTheme="minorHAnsi"/>
          <w:b/>
          <w:sz w:val="28"/>
        </w:rPr>
      </w:pPr>
    </w:p>
    <w:p>
      <w:pPr>
        <w:ind w:firstLine="0" w:firstLineChars="0"/>
        <w:rPr>
          <w:rFonts w:hAnsi="Calibri" w:cs="Calibri" w:asciiTheme="minorHAnsi"/>
          <w:b/>
          <w:sz w:val="28"/>
        </w:rPr>
      </w:pPr>
    </w:p>
    <w:p>
      <w:pPr>
        <w:ind w:firstLine="0" w:firstLineChars="0"/>
        <w:rPr>
          <w:rFonts w:hAnsi="Calibri" w:cs="Calibri" w:asciiTheme="minorHAnsi"/>
          <w:b/>
          <w:sz w:val="28"/>
        </w:rPr>
      </w:pPr>
    </w:p>
    <w:p>
      <w:pPr>
        <w:ind w:firstLine="0" w:firstLineChars="0"/>
        <w:rPr>
          <w:rFonts w:hAnsi="Calibri" w:cs="Calibri" w:asciiTheme="minorHAnsi"/>
          <w:b/>
          <w:sz w:val="28"/>
        </w:rPr>
      </w:pPr>
    </w:p>
    <w:p>
      <w:pPr>
        <w:ind w:firstLine="0" w:firstLineChars="0"/>
        <w:rPr>
          <w:rFonts w:hAnsi="Calibri" w:cs="Calibri" w:asciiTheme="minorHAnsi"/>
          <w:b/>
          <w:sz w:val="28"/>
        </w:rPr>
      </w:pPr>
    </w:p>
    <w:p>
      <w:pPr>
        <w:ind w:firstLine="562"/>
        <w:rPr>
          <w:rFonts w:hAnsi="Calibri" w:cs="Calibri" w:asciiTheme="minorHAnsi"/>
          <w:b/>
          <w:sz w:val="28"/>
        </w:rPr>
      </w:pPr>
    </w:p>
    <w:p>
      <w:pPr>
        <w:pStyle w:val="9"/>
        <w:ind w:firstLine="522"/>
        <w:jc w:val="both"/>
        <w:rPr>
          <w:rFonts w:hAnsi="Calibri" w:cs="Calibri" w:asciiTheme="minorHAnsi"/>
          <w:b/>
          <w:sz w:val="28"/>
        </w:rPr>
      </w:pPr>
      <w:r>
        <w:rPr>
          <w:rFonts w:hAnsi="Calibri" w:cs="Calibri" w:asciiTheme="minorHAnsi"/>
          <w:b/>
          <w:spacing w:val="-10"/>
          <w:sz w:val="28"/>
        </w:rPr>
        <w:t xml:space="preserve">  202</w:t>
      </w:r>
      <w:r>
        <w:rPr>
          <w:rFonts w:hint="eastAsia" w:hAnsi="Calibri" w:cs="Calibri" w:asciiTheme="minorHAnsi"/>
          <w:b/>
          <w:spacing w:val="-10"/>
          <w:sz w:val="28"/>
        </w:rPr>
        <w:t>3</w:t>
      </w:r>
      <w:r>
        <w:rPr>
          <w:rFonts w:hAnsi="Calibri" w:cs="Calibri" w:asciiTheme="minorHAnsi"/>
          <w:b/>
          <w:spacing w:val="-10"/>
          <w:sz w:val="28"/>
        </w:rPr>
        <w:t>—××—××发布                                202</w:t>
      </w:r>
      <w:r>
        <w:rPr>
          <w:rFonts w:hint="eastAsia" w:hAnsi="Calibri" w:cs="Calibri" w:asciiTheme="minorHAnsi"/>
          <w:b/>
          <w:spacing w:val="-10"/>
          <w:sz w:val="28"/>
        </w:rPr>
        <w:t>3</w:t>
      </w:r>
      <w:r>
        <w:rPr>
          <w:rFonts w:hAnsi="Calibri" w:cs="Calibri" w:asciiTheme="minorHAnsi"/>
          <w:b/>
          <w:spacing w:val="-10"/>
          <w:sz w:val="28"/>
        </w:rPr>
        <w:t>—××—××实施</w:t>
      </w:r>
    </w:p>
    <w:p>
      <w:pPr>
        <w:pStyle w:val="9"/>
        <w:ind w:firstLine="562"/>
        <w:jc w:val="both"/>
        <w:rPr>
          <w:rFonts w:hAnsi="Calibri" w:cs="Calibri" w:asciiTheme="minorHAnsi"/>
          <w:b/>
          <w:sz w:val="28"/>
        </w:rPr>
      </w:pPr>
      <w:r>
        <w:rPr>
          <w:rFonts w:hAnsi="Calibri" w:cs="Calibri" w:asciiTheme="minorHAnsi"/>
          <w:b/>
          <w:sz w:val="28"/>
        </w:rPr>
        <w:pict>
          <v:line id="直线 47" o:spid="_x0000_s2162" o:spt="20" style="position:absolute;left:0pt;margin-left:-74.95pt;margin-top:13.9pt;height:0pt;width:588pt;z-index:251660288;mso-width-relative:page;mso-height-relative:page;" coordsize="21600,21600" o:allowincell="f" o:gfxdata="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rjBRNYAAAALAQAADwAAAAAAAAABACAAAAAiAAAAZHJzL2Rv&#10;d25yZXYueG1sUEsBAhQAFAAAAAgAh07iQLGI7sjKAQAAkAMAAA4AAAAAAAAAAQAgAAAAJQEAAGRy&#10;cy9lMm9Eb2MueG1sUEsFBgAAAAAGAAYAWQEAAGEFAAAAAA==&#10;">
            <v:path arrowok="t"/>
            <v:fill focussize="0,0"/>
            <v:stroke weight="0.5pt"/>
            <v:imagedata o:title=""/>
            <o:lock v:ext="edit"/>
          </v:line>
        </w:pict>
      </w:r>
    </w:p>
    <w:tbl>
      <w:tblPr>
        <w:tblStyle w:val="43"/>
        <w:tblW w:w="54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42" w:type="dxa"/>
            <w:tcBorders>
              <w:top w:val="nil"/>
              <w:left w:val="nil"/>
              <w:bottom w:val="nil"/>
              <w:right w:val="nil"/>
            </w:tcBorders>
          </w:tcPr>
          <w:p>
            <w:pPr>
              <w:ind w:firstLine="643"/>
              <w:jc w:val="center"/>
              <w:rPr>
                <w:rFonts w:hAnsi="Calibri" w:cs="Calibri" w:asciiTheme="minorHAnsi"/>
                <w:b/>
                <w:spacing w:val="34"/>
                <w:sz w:val="32"/>
                <w:szCs w:val="32"/>
              </w:rPr>
            </w:pPr>
            <w:r>
              <w:rPr>
                <w:rFonts w:hAnsi="Calibri" w:cs="Calibri" w:asciiTheme="minorHAnsi"/>
                <w:b/>
                <w:sz w:val="32"/>
                <w:szCs w:val="32"/>
              </w:rPr>
              <w:t>重庆市住房与城乡建设委员会</w:t>
            </w:r>
          </w:p>
        </w:tc>
      </w:tr>
    </w:tbl>
    <w:p>
      <w:pPr>
        <w:ind w:firstLine="778"/>
        <w:jc w:val="center"/>
        <w:rPr>
          <w:rFonts w:hAnsi="Calibri" w:cs="Calibri" w:asciiTheme="minorHAnsi"/>
          <w:b/>
          <w:spacing w:val="34"/>
          <w:sz w:val="32"/>
          <w:szCs w:val="32"/>
        </w:rPr>
      </w:pPr>
    </w:p>
    <w:p>
      <w:pPr>
        <w:ind w:firstLine="560"/>
        <w:jc w:val="center"/>
        <w:rPr>
          <w:rFonts w:hAnsi="Calibri" w:cs="Calibri" w:asciiTheme="minorHAnsi"/>
        </w:rPr>
      </w:pPr>
      <w:r>
        <w:rPr>
          <w:rFonts w:hAnsi="Calibri" w:cs="Calibri" w:asciiTheme="minorHAnsi"/>
          <w:sz w:val="28"/>
        </w:rPr>
        <w:t>202</w:t>
      </w:r>
      <w:r>
        <w:rPr>
          <w:rFonts w:hint="eastAsia" w:hAnsi="Calibri" w:cs="Calibri" w:asciiTheme="minorHAnsi"/>
          <w:sz w:val="28"/>
        </w:rPr>
        <w:t>3</w:t>
      </w:r>
      <w:r>
        <w:rPr>
          <w:rFonts w:hAnsi="Calibri" w:cs="Calibri" w:asciiTheme="minorHAnsi"/>
          <w:sz w:val="28"/>
        </w:rPr>
        <w:t>年    月    日</w:t>
      </w:r>
      <w:r>
        <w:rPr>
          <w:rFonts w:hAnsi="Calibri" w:cs="Calibri" w:asciiTheme="minorHAnsi"/>
          <w:sz w:val="28"/>
        </w:rPr>
        <w:br w:type="page"/>
      </w:r>
    </w:p>
    <w:p>
      <w:pPr>
        <w:spacing w:line="800" w:lineRule="exact"/>
        <w:ind w:firstLine="883"/>
        <w:jc w:val="center"/>
        <w:rPr>
          <w:rFonts w:hAnsi="Calibri" w:cs="Calibri" w:asciiTheme="minorHAnsi"/>
          <w:b/>
          <w:sz w:val="44"/>
        </w:rPr>
      </w:pPr>
      <w:r>
        <w:rPr>
          <w:rFonts w:hAnsi="Calibri" w:cs="Calibri" w:asciiTheme="minorHAnsi"/>
          <w:b/>
          <w:sz w:val="44"/>
        </w:rPr>
        <w:t>重庆市工程建设标准</w:t>
      </w:r>
    </w:p>
    <w:p>
      <w:pPr>
        <w:spacing w:line="360" w:lineRule="auto"/>
        <w:rPr>
          <w:rFonts w:hAnsi="Calibri" w:cs="Calibri" w:asciiTheme="minorHAnsi"/>
        </w:rPr>
      </w:pPr>
    </w:p>
    <w:p>
      <w:pPr>
        <w:spacing w:line="360" w:lineRule="auto"/>
        <w:rPr>
          <w:rFonts w:hAnsi="Calibri" w:cs="Calibri" w:asciiTheme="minorHAnsi"/>
        </w:rPr>
      </w:pPr>
    </w:p>
    <w:p>
      <w:pPr>
        <w:spacing w:line="360" w:lineRule="auto"/>
        <w:ind w:firstLine="964"/>
        <w:jc w:val="center"/>
        <w:rPr>
          <w:rFonts w:hAnsi="Calibri" w:cs="Calibri" w:asciiTheme="minorHAnsi"/>
          <w:b/>
          <w:sz w:val="48"/>
          <w:szCs w:val="48"/>
        </w:rPr>
      </w:pPr>
      <w:r>
        <w:rPr>
          <w:rFonts w:hAnsi="Calibri" w:cs="Calibri" w:asciiTheme="minorHAnsi"/>
          <w:b/>
          <w:sz w:val="48"/>
          <w:szCs w:val="48"/>
        </w:rPr>
        <w:t>装配式开孔钢板组合剪力墙结构住宅</w:t>
      </w:r>
    </w:p>
    <w:p>
      <w:pPr>
        <w:spacing w:line="360" w:lineRule="auto"/>
        <w:ind w:firstLine="964"/>
        <w:jc w:val="center"/>
        <w:rPr>
          <w:rFonts w:hAnsi="Calibri" w:cs="Calibri" w:asciiTheme="minorHAnsi"/>
          <w:b/>
          <w:sz w:val="48"/>
          <w:szCs w:val="48"/>
        </w:rPr>
      </w:pPr>
      <w:r>
        <w:rPr>
          <w:rFonts w:hAnsi="Calibri" w:cs="Calibri" w:asciiTheme="minorHAnsi"/>
          <w:b/>
          <w:sz w:val="48"/>
          <w:szCs w:val="48"/>
        </w:rPr>
        <w:t>技术标准</w:t>
      </w:r>
    </w:p>
    <w:p>
      <w:pPr>
        <w:ind w:firstLine="0" w:firstLineChars="0"/>
        <w:jc w:val="center"/>
        <w:rPr>
          <w:b/>
          <w:bCs/>
          <w:spacing w:val="20"/>
          <w:sz w:val="28"/>
        </w:rPr>
      </w:pPr>
      <w:r>
        <w:rPr>
          <w:b/>
          <w:bCs/>
          <w:spacing w:val="20"/>
          <w:sz w:val="28"/>
        </w:rPr>
        <w:t>Technical standard for assembled residential buildings with composite</w:t>
      </w:r>
      <w:r>
        <w:rPr>
          <w:rFonts w:hint="eastAsia"/>
          <w:b/>
          <w:bCs/>
          <w:spacing w:val="20"/>
          <w:sz w:val="28"/>
        </w:rPr>
        <w:t xml:space="preserve"> </w:t>
      </w:r>
      <w:r>
        <w:rPr>
          <w:b/>
          <w:bCs/>
          <w:spacing w:val="20"/>
          <w:sz w:val="28"/>
        </w:rPr>
        <w:t>trepanning steel plat</w:t>
      </w:r>
      <w:r>
        <w:rPr>
          <w:rFonts w:hint="eastAsia"/>
          <w:b/>
          <w:bCs/>
          <w:spacing w:val="20"/>
          <w:sz w:val="28"/>
        </w:rPr>
        <w:t xml:space="preserve">es and </w:t>
      </w:r>
      <w:r>
        <w:rPr>
          <w:b/>
          <w:bCs/>
          <w:spacing w:val="20"/>
          <w:sz w:val="28"/>
        </w:rPr>
        <w:t>concrete shear walls</w:t>
      </w:r>
    </w:p>
    <w:p>
      <w:pPr>
        <w:spacing w:line="360" w:lineRule="auto"/>
        <w:rPr>
          <w:rFonts w:hAnsi="Calibri" w:cs="Calibri" w:asciiTheme="minorHAnsi"/>
        </w:rPr>
      </w:pPr>
    </w:p>
    <w:p>
      <w:pPr>
        <w:spacing w:line="360" w:lineRule="auto"/>
        <w:rPr>
          <w:rFonts w:hAnsi="Calibri" w:cs="Calibri" w:asciiTheme="minorHAnsi"/>
        </w:rPr>
      </w:pPr>
    </w:p>
    <w:p>
      <w:pPr>
        <w:spacing w:line="360" w:lineRule="auto"/>
        <w:rPr>
          <w:rFonts w:hAnsi="Calibri" w:cs="Calibri" w:asciiTheme="minorHAnsi"/>
        </w:rPr>
      </w:pPr>
    </w:p>
    <w:p>
      <w:pPr>
        <w:spacing w:line="360" w:lineRule="auto"/>
        <w:rPr>
          <w:rFonts w:hAnsi="Calibri" w:cs="Calibri" w:asciiTheme="minorHAnsi"/>
        </w:rPr>
      </w:pPr>
    </w:p>
    <w:p>
      <w:pPr>
        <w:pStyle w:val="9"/>
        <w:spacing w:line="360" w:lineRule="auto"/>
        <w:ind w:firstLine="720"/>
        <w:jc w:val="center"/>
        <w:rPr>
          <w:rFonts w:hAnsi="Calibri" w:cs="Calibri" w:asciiTheme="minorHAnsi"/>
          <w:b/>
          <w:sz w:val="36"/>
        </w:rPr>
      </w:pPr>
      <w:r>
        <w:rPr>
          <w:rFonts w:hAnsi="Calibri" w:cs="Calibri" w:asciiTheme="minorHAnsi"/>
          <w:sz w:val="36"/>
        </w:rPr>
        <w:t>（征求意见稿）</w:t>
      </w:r>
    </w:p>
    <w:p>
      <w:pPr>
        <w:pStyle w:val="9"/>
        <w:spacing w:line="240" w:lineRule="auto"/>
        <w:ind w:firstLine="562"/>
        <w:jc w:val="both"/>
        <w:rPr>
          <w:rFonts w:hAnsi="Calibri" w:cs="Calibri" w:asciiTheme="minorHAnsi"/>
          <w:b/>
          <w:sz w:val="28"/>
        </w:rPr>
      </w:pPr>
    </w:p>
    <w:p>
      <w:pPr>
        <w:pStyle w:val="9"/>
        <w:spacing w:line="240" w:lineRule="auto"/>
        <w:ind w:firstLine="562"/>
        <w:jc w:val="both"/>
        <w:rPr>
          <w:rFonts w:hAnsi="Calibri" w:cs="Calibri" w:asciiTheme="minorHAnsi"/>
          <w:b/>
          <w:sz w:val="28"/>
        </w:rPr>
      </w:pPr>
    </w:p>
    <w:p>
      <w:pPr>
        <w:pStyle w:val="9"/>
        <w:spacing w:line="240" w:lineRule="auto"/>
        <w:ind w:firstLine="562"/>
        <w:jc w:val="both"/>
        <w:rPr>
          <w:rFonts w:hAnsi="Calibri" w:cs="Calibri" w:asciiTheme="minorHAnsi"/>
          <w:b/>
          <w:sz w:val="28"/>
        </w:rPr>
      </w:pPr>
    </w:p>
    <w:p>
      <w:pPr>
        <w:pStyle w:val="9"/>
        <w:spacing w:line="240" w:lineRule="auto"/>
        <w:ind w:firstLine="422"/>
        <w:jc w:val="both"/>
        <w:rPr>
          <w:rFonts w:hAnsi="Calibri" w:cs="Calibri" w:asciiTheme="minorHAnsi"/>
          <w:b/>
          <w:sz w:val="21"/>
        </w:rPr>
      </w:pPr>
    </w:p>
    <w:tbl>
      <w:tblPr>
        <w:tblStyle w:val="44"/>
        <w:tblW w:w="9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9"/>
        <w:gridCol w:w="6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9" w:type="dxa"/>
          </w:tcPr>
          <w:p>
            <w:pPr>
              <w:pStyle w:val="9"/>
              <w:spacing w:line="240" w:lineRule="auto"/>
              <w:ind w:firstLine="560"/>
              <w:jc w:val="right"/>
              <w:rPr>
                <w:rFonts w:hAnsi="Calibri" w:cs="Calibri" w:asciiTheme="minorHAnsi"/>
                <w:b/>
                <w:sz w:val="28"/>
              </w:rPr>
            </w:pPr>
            <w:r>
              <w:rPr>
                <w:rFonts w:hAnsi="Calibri" w:cs="Calibri" w:asciiTheme="minorHAnsi"/>
                <w:sz w:val="28"/>
              </w:rPr>
              <w:t>主 编 单 位：</w:t>
            </w:r>
          </w:p>
        </w:tc>
        <w:tc>
          <w:tcPr>
            <w:tcW w:w="6088" w:type="dxa"/>
          </w:tcPr>
          <w:p>
            <w:pPr>
              <w:pStyle w:val="9"/>
              <w:spacing w:line="240" w:lineRule="auto"/>
              <w:ind w:firstLine="560"/>
              <w:jc w:val="both"/>
              <w:rPr>
                <w:rFonts w:hAnsi="Calibri" w:cs="Calibri" w:asciiTheme="minorHAnsi"/>
                <w:b/>
                <w:sz w:val="28"/>
              </w:rPr>
            </w:pPr>
            <w:r>
              <w:rPr>
                <w:rFonts w:hAnsi="Calibri" w:cs="Calibri" w:asciiTheme="minorHAnsi"/>
                <w:sz w:val="28"/>
              </w:rPr>
              <w:t>重庆钢结构产业有限公司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9" w:type="dxa"/>
          </w:tcPr>
          <w:p>
            <w:pPr>
              <w:pStyle w:val="9"/>
              <w:spacing w:line="240" w:lineRule="auto"/>
              <w:ind w:firstLine="562"/>
              <w:jc w:val="both"/>
              <w:rPr>
                <w:rFonts w:hAnsi="Calibri" w:cs="Calibri" w:asciiTheme="minorHAnsi"/>
                <w:b/>
                <w:sz w:val="28"/>
              </w:rPr>
            </w:pPr>
          </w:p>
        </w:tc>
        <w:tc>
          <w:tcPr>
            <w:tcW w:w="6088" w:type="dxa"/>
          </w:tcPr>
          <w:p>
            <w:pPr>
              <w:ind w:firstLine="560"/>
              <w:rPr>
                <w:rFonts w:hAnsi="Calibri" w:cs="Calibri" w:asciiTheme="minorHAnsi"/>
                <w:sz w:val="28"/>
              </w:rPr>
            </w:pPr>
            <w:r>
              <w:rPr>
                <w:rFonts w:hAnsi="Calibri" w:cs="Calibri" w:asciiTheme="minorHAnsi"/>
                <w:sz w:val="28"/>
              </w:rPr>
              <w:t>千城绿建（重庆）有限公司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9" w:type="dxa"/>
          </w:tcPr>
          <w:p>
            <w:pPr>
              <w:pStyle w:val="9"/>
              <w:spacing w:line="240" w:lineRule="auto"/>
              <w:ind w:firstLine="560"/>
              <w:jc w:val="right"/>
              <w:rPr>
                <w:rFonts w:hAnsi="Calibri" w:cs="Calibri" w:asciiTheme="minorHAnsi"/>
                <w:b/>
                <w:sz w:val="28"/>
              </w:rPr>
            </w:pPr>
            <w:r>
              <w:rPr>
                <w:rFonts w:hAnsi="Calibri" w:cs="Calibri" w:asciiTheme="minorHAnsi"/>
                <w:sz w:val="28"/>
              </w:rPr>
              <w:t>批准部门：</w:t>
            </w:r>
          </w:p>
        </w:tc>
        <w:tc>
          <w:tcPr>
            <w:tcW w:w="6088" w:type="dxa"/>
          </w:tcPr>
          <w:p>
            <w:pPr>
              <w:pStyle w:val="9"/>
              <w:spacing w:line="360" w:lineRule="auto"/>
              <w:ind w:firstLine="560"/>
              <w:jc w:val="both"/>
              <w:rPr>
                <w:rFonts w:hAnsi="Calibri" w:cs="Calibri" w:asciiTheme="minorHAnsi"/>
                <w:sz w:val="28"/>
              </w:rPr>
            </w:pPr>
            <w:r>
              <w:rPr>
                <w:rFonts w:hAnsi="Calibri" w:cs="Calibri" w:asciiTheme="minorHAnsi"/>
                <w:sz w:val="28"/>
              </w:rPr>
              <w:t>重庆市城乡与住房建设委员会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89" w:type="dxa"/>
          </w:tcPr>
          <w:p>
            <w:pPr>
              <w:pStyle w:val="9"/>
              <w:spacing w:line="240" w:lineRule="auto"/>
              <w:ind w:firstLine="560"/>
              <w:jc w:val="right"/>
              <w:rPr>
                <w:rFonts w:hAnsi="Calibri" w:cs="Calibri" w:asciiTheme="minorHAnsi"/>
                <w:b/>
                <w:sz w:val="28"/>
              </w:rPr>
            </w:pPr>
            <w:r>
              <w:rPr>
                <w:rFonts w:hAnsi="Calibri" w:cs="Calibri" w:asciiTheme="minorHAnsi"/>
                <w:sz w:val="28"/>
              </w:rPr>
              <w:t>施行日期：</w:t>
            </w:r>
          </w:p>
        </w:tc>
        <w:tc>
          <w:tcPr>
            <w:tcW w:w="6088" w:type="dxa"/>
          </w:tcPr>
          <w:p>
            <w:pPr>
              <w:pStyle w:val="9"/>
              <w:spacing w:line="360" w:lineRule="auto"/>
              <w:ind w:firstLine="560"/>
              <w:jc w:val="both"/>
              <w:rPr>
                <w:rFonts w:hAnsi="Calibri" w:cs="Calibri" w:asciiTheme="minorHAnsi"/>
                <w:sz w:val="28"/>
              </w:rPr>
            </w:pPr>
            <w:r>
              <w:rPr>
                <w:rFonts w:hAnsi="Calibri" w:cs="Calibri" w:asciiTheme="minorHAnsi"/>
                <w:sz w:val="28"/>
              </w:rPr>
              <w:t>××年××月××日</w:t>
            </w:r>
          </w:p>
        </w:tc>
      </w:tr>
    </w:tbl>
    <w:p>
      <w:pPr>
        <w:ind w:firstLine="560"/>
        <w:rPr>
          <w:rFonts w:hAnsi="Calibri" w:cs="Calibri" w:asciiTheme="minorHAnsi"/>
          <w:sz w:val="28"/>
        </w:rPr>
      </w:pPr>
    </w:p>
    <w:p>
      <w:pPr>
        <w:pStyle w:val="9"/>
        <w:spacing w:line="360" w:lineRule="auto"/>
        <w:ind w:firstLine="0" w:firstLineChars="0"/>
        <w:jc w:val="both"/>
        <w:rPr>
          <w:rFonts w:hAnsi="Calibri" w:cs="Calibri" w:asciiTheme="minorHAnsi"/>
          <w:b/>
          <w:sz w:val="28"/>
        </w:rPr>
      </w:pPr>
    </w:p>
    <w:p>
      <w:pPr>
        <w:pStyle w:val="9"/>
        <w:spacing w:line="360" w:lineRule="auto"/>
        <w:ind w:firstLine="562"/>
        <w:jc w:val="both"/>
        <w:rPr>
          <w:rFonts w:hAnsi="Calibri" w:cs="Calibri" w:asciiTheme="minorHAnsi"/>
          <w:b/>
          <w:sz w:val="28"/>
        </w:rPr>
      </w:pPr>
    </w:p>
    <w:p>
      <w:pPr>
        <w:spacing w:beforeLines="50" w:afterLines="50"/>
        <w:ind w:firstLine="720"/>
        <w:jc w:val="center"/>
        <w:rPr>
          <w:rFonts w:hAnsi="Calibri" w:eastAsia="黑体" w:cs="Calibri" w:asciiTheme="minorHAnsi"/>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74" w:right="1474" w:bottom="1474" w:left="1588" w:header="1134" w:footer="1134" w:gutter="0"/>
          <w:pgNumType w:fmt="upperRoman" w:start="1"/>
          <w:cols w:space="425" w:num="1"/>
          <w:formProt w:val="0"/>
          <w:docGrid w:type="lines" w:linePitch="312" w:charSpace="0"/>
        </w:sectPr>
      </w:pPr>
      <w:r>
        <w:rPr>
          <w:rFonts w:hAnsi="Calibri" w:cs="Calibri" w:asciiTheme="minorHAnsi"/>
          <w:spacing w:val="40"/>
          <w:sz w:val="28"/>
          <w:szCs w:val="28"/>
        </w:rPr>
        <w:t>202</w:t>
      </w:r>
      <w:r>
        <w:rPr>
          <w:rFonts w:hint="eastAsia" w:hAnsi="Calibri" w:cs="Calibri" w:asciiTheme="minorHAnsi"/>
          <w:spacing w:val="40"/>
          <w:sz w:val="28"/>
          <w:szCs w:val="28"/>
        </w:rPr>
        <w:t>3</w:t>
      </w:r>
      <w:r>
        <w:rPr>
          <w:rFonts w:hAnsi="Calibri" w:cs="Calibri" w:asciiTheme="minorHAnsi"/>
          <w:spacing w:val="40"/>
          <w:sz w:val="28"/>
          <w:szCs w:val="28"/>
        </w:rPr>
        <w:t>年</w:t>
      </w:r>
      <w:r>
        <w:rPr>
          <w:rFonts w:hint="eastAsia" w:hAnsi="Calibri" w:cs="Calibri" w:asciiTheme="minorHAnsi"/>
          <w:spacing w:val="40"/>
          <w:sz w:val="28"/>
          <w:szCs w:val="28"/>
        </w:rPr>
        <w:t xml:space="preserve"> </w:t>
      </w:r>
      <w:r>
        <w:rPr>
          <w:rFonts w:hAnsi="Calibri" w:cs="Calibri" w:asciiTheme="minorHAnsi"/>
          <w:spacing w:val="40"/>
          <w:sz w:val="28"/>
          <w:szCs w:val="28"/>
        </w:rPr>
        <w:t>重庆</w:t>
      </w:r>
    </w:p>
    <w:p>
      <w:pPr>
        <w:spacing w:beforeLines="50" w:afterLines="50"/>
        <w:ind w:firstLine="562"/>
        <w:jc w:val="center"/>
        <w:rPr>
          <w:rFonts w:hAnsi="Calibri" w:eastAsia="黑体" w:cs="Calibri" w:asciiTheme="minorHAnsi"/>
          <w:b/>
          <w:sz w:val="28"/>
          <w:szCs w:val="28"/>
        </w:rPr>
      </w:pPr>
      <w:r>
        <w:rPr>
          <w:rFonts w:hAnsi="Calibri" w:eastAsia="黑体" w:cs="Calibri" w:asciiTheme="minorHAnsi"/>
          <w:b/>
          <w:sz w:val="28"/>
          <w:szCs w:val="28"/>
        </w:rPr>
        <w:t>前</w:t>
      </w:r>
      <w:bookmarkStart w:id="0" w:name="BKQY"/>
      <w:r>
        <w:rPr>
          <w:rFonts w:hAnsi="Calibri" w:eastAsia="黑体" w:cs="Calibri" w:asciiTheme="minorHAnsi"/>
          <w:b/>
          <w:sz w:val="28"/>
          <w:szCs w:val="28"/>
        </w:rPr>
        <w:t xml:space="preserve">  言</w:t>
      </w:r>
      <w:bookmarkEnd w:id="0"/>
    </w:p>
    <w:p>
      <w:pPr>
        <w:spacing w:line="360" w:lineRule="auto"/>
      </w:pPr>
      <w:r>
        <w:t>根据重庆市住房和城乡建设委员会文件《关于下达2018年度重庆市工程建设标准制定修订项目计划（第二批）的通知》（渝建[2018]655号）的要求，标准编制组经广泛调查研究，开展基础试验研究，认真进行工程试设计并参考相关实际工程经验和国内外规范标准，并在广泛征求意见的基础上，编制了本标准。</w:t>
      </w:r>
    </w:p>
    <w:p>
      <w:pPr>
        <w:spacing w:line="360" w:lineRule="auto"/>
        <w:rPr>
          <w:color w:val="FF0000"/>
        </w:rPr>
      </w:pPr>
      <w:r>
        <w:t>本标准的主要技术内容包括：1.总则；2.术语和符号；3.基本规定；4.建筑设计；5.结构设计；6.建筑设备管线设计；7.钢结构的防护；8.部品部件制作与运输；9.施工安装；10.检测及验收；11.使用与维护。</w:t>
      </w:r>
      <w:bookmarkStart w:id="128" w:name="_GoBack"/>
      <w:bookmarkEnd w:id="128"/>
    </w:p>
    <w:p>
      <w:pPr>
        <w:spacing w:line="360" w:lineRule="auto"/>
        <w:rPr>
          <w:color w:val="FF0000"/>
        </w:rPr>
      </w:pPr>
      <w:r>
        <w:t>本标准由重庆市城乡建设委员会负责管理，由重庆钢结构产业有限公司负责具体技术内容的解释。本规范在执行过程中如有意见或建议，请寄送重庆市《装配式开孔钢板组合剪力墙结构住宅技术标准》编制组。</w:t>
      </w:r>
      <w:r>
        <w:rPr>
          <w:color w:val="FF0000"/>
        </w:rPr>
        <w:t>（通讯地址：重庆市大渡口区钢花路21号，重庆钢结构产业有限公司，邮编：400080；电子邮箱：</w:t>
      </w:r>
      <w:r>
        <w:rPr>
          <w:rFonts w:hint="eastAsia"/>
          <w:color w:val="FF0000"/>
        </w:rPr>
        <w:t>4</w:t>
      </w:r>
      <w:r>
        <w:rPr>
          <w:color w:val="FF0000"/>
        </w:rPr>
        <w:t>28944129</w:t>
      </w:r>
      <w:r>
        <w:rPr>
          <w:rFonts w:hint="eastAsia"/>
          <w:color w:val="FF0000"/>
        </w:rPr>
        <w:t>@qq</w:t>
      </w:r>
      <w:r>
        <w:rPr>
          <w:color w:val="FF0000"/>
        </w:rPr>
        <w:t>.com）。</w:t>
      </w:r>
    </w:p>
    <w:tbl>
      <w:tblPr>
        <w:tblStyle w:val="43"/>
        <w:tblW w:w="8844" w:type="dxa"/>
        <w:tblInd w:w="0" w:type="dxa"/>
        <w:tblLayout w:type="fixed"/>
        <w:tblCellMar>
          <w:top w:w="0" w:type="dxa"/>
          <w:left w:w="108" w:type="dxa"/>
          <w:bottom w:w="0" w:type="dxa"/>
          <w:right w:w="108" w:type="dxa"/>
        </w:tblCellMar>
      </w:tblPr>
      <w:tblGrid>
        <w:gridCol w:w="2328"/>
        <w:gridCol w:w="6516"/>
      </w:tblGrid>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r>
              <w:rPr>
                <w:rFonts w:hAnsi="Calibri" w:cs="Calibri" w:asciiTheme="minorHAnsi"/>
              </w:rPr>
              <w:t>主编单位：</w:t>
            </w:r>
          </w:p>
        </w:tc>
        <w:tc>
          <w:tcPr>
            <w:tcW w:w="6516" w:type="dxa"/>
          </w:tcPr>
          <w:p>
            <w:pPr>
              <w:spacing w:line="360" w:lineRule="auto"/>
              <w:rPr>
                <w:rFonts w:hAnsi="Calibri" w:cs="Calibri" w:asciiTheme="minorHAnsi"/>
              </w:rPr>
            </w:pPr>
            <w:r>
              <w:rPr>
                <w:rFonts w:hAnsi="Calibri" w:cs="Calibri" w:asciiTheme="minorHAnsi"/>
              </w:rPr>
              <w:t>重庆钢结构产业有限公司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tcPr>
          <w:p>
            <w:pPr>
              <w:spacing w:line="360" w:lineRule="auto"/>
              <w:rPr>
                <w:rFonts w:hAnsi="Calibri" w:cs="Calibri" w:asciiTheme="minorHAnsi"/>
              </w:rPr>
            </w:pPr>
            <w:r>
              <w:rPr>
                <w:rFonts w:hAnsi="Calibri" w:cs="Calibri" w:asciiTheme="minorHAnsi"/>
              </w:rPr>
              <w:t>千城绿建科技（重庆）有限公司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r>
              <w:rPr>
                <w:rFonts w:hAnsi="Calibri" w:cs="Calibri" w:asciiTheme="minorHAnsi"/>
              </w:rPr>
              <w:t>参编单位：</w:t>
            </w:r>
          </w:p>
        </w:tc>
        <w:tc>
          <w:tcPr>
            <w:tcW w:w="6516" w:type="dxa"/>
          </w:tcPr>
          <w:p>
            <w:pPr>
              <w:spacing w:line="360" w:lineRule="auto"/>
              <w:rPr>
                <w:rFonts w:hAnsi="Calibri" w:cs="Calibri" w:asciiTheme="minorHAnsi"/>
              </w:rPr>
            </w:pPr>
            <w:r>
              <w:rPr>
                <w:rFonts w:hAnsi="Calibri" w:cs="Calibri" w:asciiTheme="minorHAnsi"/>
              </w:rPr>
              <w:t>重庆大学</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hAnsi="Calibri" w:cs="Calibri" w:asciiTheme="minorHAnsi"/>
              </w:rPr>
            </w:pPr>
            <w:r>
              <w:rPr>
                <w:rFonts w:hint="eastAsia" w:ascii="宋体" w:hAnsi="宋体" w:cs="宋体"/>
                <w:kern w:val="0"/>
              </w:rPr>
              <w:t>重庆钢铁集团设计院有限公司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hAnsi="Calibri" w:cs="Calibri" w:asciiTheme="minorHAnsi"/>
              </w:rPr>
            </w:pPr>
            <w:r>
              <w:rPr>
                <w:rFonts w:hint="eastAsia" w:ascii="宋体" w:hAnsi="宋体" w:cs="宋体"/>
                <w:kern w:val="0"/>
              </w:rPr>
              <w:t>重庆钢铁集团建设工程有限公司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ascii="宋体" w:hAnsi="宋体" w:cs="宋体"/>
                <w:kern w:val="0"/>
              </w:rPr>
            </w:pPr>
            <w:r>
              <w:rPr>
                <w:rFonts w:hint="eastAsia" w:ascii="宋体" w:hAnsi="宋体" w:cs="宋体"/>
                <w:color w:val="000000" w:themeColor="text1"/>
                <w:kern w:val="0"/>
              </w:rPr>
              <w:t>重庆长嘉建筑与钢结构检测认证研究院有限公司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hAnsi="Calibri" w:cs="Calibri" w:asciiTheme="minorHAnsi"/>
              </w:rPr>
            </w:pPr>
            <w:r>
              <w:rPr>
                <w:rFonts w:hint="eastAsia" w:ascii="宋体" w:hAnsi="宋体" w:cs="宋体"/>
                <w:kern w:val="0"/>
              </w:rPr>
              <w:t>重庆中科建设（集团）有限公司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hAnsi="Calibri" w:cs="Calibri" w:asciiTheme="minorHAnsi"/>
                <w:color w:val="000000" w:themeColor="text1"/>
              </w:rPr>
            </w:pPr>
            <w:r>
              <w:rPr>
                <w:rFonts w:hint="eastAsia" w:ascii="宋体" w:hAnsi="宋体" w:cs="宋体"/>
                <w:color w:val="000000" w:themeColor="text1"/>
                <w:kern w:val="0"/>
              </w:rPr>
              <w:t>重庆市质量和标准化研究院</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hAnsi="Calibri" w:cs="Calibri" w:asciiTheme="minorHAnsi"/>
                <w:color w:val="000000" w:themeColor="text1"/>
              </w:rPr>
            </w:pPr>
            <w:r>
              <w:rPr>
                <w:rFonts w:hint="eastAsia" w:hAnsi="Calibri" w:cs="Calibri" w:asciiTheme="minorHAnsi"/>
                <w:color w:val="000000" w:themeColor="text1"/>
              </w:rPr>
              <w:t>重庆交通大学</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ascii="宋体" w:hAnsi="宋体" w:cs="宋体"/>
                <w:color w:val="000000" w:themeColor="text1"/>
                <w:kern w:val="0"/>
              </w:rPr>
            </w:pPr>
            <w:r>
              <w:rPr>
                <w:rFonts w:hint="eastAsia" w:ascii="宋体" w:hAnsi="宋体" w:cs="宋体"/>
                <w:color w:val="000000" w:themeColor="text1"/>
                <w:kern w:val="0"/>
              </w:rPr>
              <w:t>中机中联工程有限公司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ascii="宋体" w:hAnsi="宋体" w:cs="宋体"/>
                <w:color w:val="000000" w:themeColor="text1"/>
                <w:kern w:val="0"/>
              </w:rPr>
            </w:pPr>
            <w:r>
              <w:rPr>
                <w:rFonts w:hint="eastAsia" w:ascii="宋体" w:hAnsi="宋体" w:cs="宋体"/>
                <w:color w:val="000000" w:themeColor="text1"/>
                <w:kern w:val="0"/>
              </w:rPr>
              <w:t>重庆江电电力设备有限公司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ascii="宋体" w:hAnsi="宋体" w:cs="宋体"/>
                <w:color w:val="000000" w:themeColor="text1"/>
                <w:kern w:val="0"/>
              </w:rPr>
            </w:pPr>
            <w:r>
              <w:rPr>
                <w:rFonts w:hint="eastAsia" w:ascii="宋体" w:hAnsi="宋体" w:cs="宋体"/>
                <w:color w:val="000000" w:themeColor="text1"/>
                <w:kern w:val="0"/>
              </w:rPr>
              <w:t>重庆建工工业有限公司</w:t>
            </w:r>
          </w:p>
        </w:tc>
      </w:tr>
      <w:tr>
        <w:tblPrEx>
          <w:tblCellMar>
            <w:top w:w="0" w:type="dxa"/>
            <w:left w:w="108" w:type="dxa"/>
            <w:bottom w:w="0" w:type="dxa"/>
            <w:right w:w="108" w:type="dxa"/>
          </w:tblCellMar>
        </w:tblPrEx>
        <w:tc>
          <w:tcPr>
            <w:tcW w:w="2328" w:type="dxa"/>
          </w:tcPr>
          <w:p>
            <w:pPr>
              <w:spacing w:line="360" w:lineRule="auto"/>
              <w:jc w:val="right"/>
              <w:rPr>
                <w:rFonts w:hAnsi="Calibri" w:cs="Calibri" w:asciiTheme="minorHAnsi"/>
              </w:rPr>
            </w:pPr>
          </w:p>
        </w:tc>
        <w:tc>
          <w:tcPr>
            <w:tcW w:w="6516" w:type="dxa"/>
            <w:vAlign w:val="center"/>
          </w:tcPr>
          <w:p>
            <w:pPr>
              <w:spacing w:line="360" w:lineRule="auto"/>
              <w:rPr>
                <w:rFonts w:ascii="宋体" w:hAnsi="宋体" w:cs="宋体"/>
                <w:color w:val="000000" w:themeColor="text1"/>
                <w:kern w:val="0"/>
              </w:rPr>
            </w:pPr>
            <w:r>
              <w:rPr>
                <w:rFonts w:hint="eastAsia" w:ascii="宋体" w:hAnsi="宋体" w:cs="宋体"/>
                <w:color w:val="000000" w:themeColor="text1"/>
                <w:kern w:val="0"/>
              </w:rPr>
              <w:t>重庆强捷钢结构有限公司</w:t>
            </w:r>
          </w:p>
        </w:tc>
      </w:tr>
    </w:tbl>
    <w:p>
      <w:pPr>
        <w:ind w:firstLine="199" w:firstLineChars="95"/>
        <w:rPr>
          <w:rFonts w:hAnsi="Calibri" w:cs="Calibri" w:asciiTheme="minorHAnsi"/>
        </w:rPr>
      </w:pPr>
      <w:r>
        <w:rPr>
          <w:rFonts w:hint="eastAsia" w:hAnsi="Calibri" w:cs="Calibri" w:asciiTheme="minorHAnsi"/>
        </w:rPr>
        <w:t>本标准主要起草人员：</w:t>
      </w: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r>
        <w:rPr>
          <w:rFonts w:hint="eastAsia" w:hAnsi="Calibri" w:cs="Calibri" w:asciiTheme="minorHAnsi"/>
        </w:rPr>
        <w:t>本标准主要审查人员：</w:t>
      </w: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pPr>
    </w:p>
    <w:p>
      <w:pPr>
        <w:ind w:firstLine="199" w:firstLineChars="95"/>
        <w:rPr>
          <w:rFonts w:hAnsi="Calibri" w:cs="Calibri" w:asciiTheme="minorHAnsi"/>
        </w:rPr>
        <w:sectPr>
          <w:pgSz w:w="11906" w:h="16838"/>
          <w:pgMar w:top="1474" w:right="1474" w:bottom="1474" w:left="1588" w:header="1418" w:footer="1134" w:gutter="0"/>
          <w:pgNumType w:fmt="upperRoman" w:start="1"/>
          <w:cols w:space="425" w:num="1"/>
          <w:formProt w:val="0"/>
          <w:docGrid w:type="lines" w:linePitch="312" w:charSpace="0"/>
        </w:sectPr>
      </w:pPr>
    </w:p>
    <w:p>
      <w:pPr>
        <w:tabs>
          <w:tab w:val="left" w:pos="0"/>
          <w:tab w:val="left" w:pos="765"/>
          <w:tab w:val="center" w:pos="4677"/>
        </w:tabs>
        <w:spacing w:before="156" w:after="156" w:line="360" w:lineRule="auto"/>
        <w:ind w:firstLine="0" w:firstLineChars="0"/>
        <w:jc w:val="center"/>
        <w:rPr>
          <w:rFonts w:hAnsi="Calibri" w:cs="Calibri" w:asciiTheme="minorHAnsi"/>
        </w:rPr>
      </w:pPr>
      <w:r>
        <w:rPr>
          <w:rFonts w:hAnsi="Calibri" w:cs="Calibri" w:asciiTheme="minorHAnsi"/>
          <w:sz w:val="28"/>
          <w:szCs w:val="28"/>
          <w:lang w:val="zh-CN"/>
        </w:rPr>
        <w:t>目 录</w:t>
      </w:r>
    </w:p>
    <w:p>
      <w:pPr>
        <w:pStyle w:val="27"/>
        <w:tabs>
          <w:tab w:val="right" w:leader="dot" w:pos="8306"/>
          <w:tab w:val="clear" w:pos="9242"/>
        </w:tabs>
        <w:spacing w:before="78" w:after="78"/>
        <w:rPr>
          <w:rFonts w:ascii="Times New Roman" w:cs="Times New Roman"/>
        </w:rPr>
      </w:pPr>
      <w:r>
        <w:rPr>
          <w:rFonts w:ascii="Times New Roman" w:cs="Times New Roman"/>
        </w:rPr>
        <w:fldChar w:fldCharType="begin"/>
      </w:r>
      <w:r>
        <w:rPr>
          <w:rFonts w:ascii="Times New Roman" w:cs="Times New Roman"/>
        </w:rPr>
        <w:instrText xml:space="preserve">TOC \o "1-2" \h \z \u</w:instrText>
      </w:r>
      <w:r>
        <w:rPr>
          <w:rFonts w:ascii="Times New Roman" w:cs="Times New Roman"/>
        </w:rPr>
        <w:fldChar w:fldCharType="separate"/>
      </w:r>
      <w:r>
        <w:fldChar w:fldCharType="begin"/>
      </w:r>
      <w:r>
        <w:instrText xml:space="preserve"> HYPERLINK \l "_Toc20553" </w:instrText>
      </w:r>
      <w:r>
        <w:fldChar w:fldCharType="separate"/>
      </w:r>
      <w:r>
        <w:rPr>
          <w:rFonts w:ascii="Times New Roman" w:cs="Times New Roman"/>
        </w:rPr>
        <w:t>1 总则</w:t>
      </w:r>
      <w:r>
        <w:rPr>
          <w:rFonts w:ascii="Times New Roman" w:cs="Times New Roman"/>
        </w:rPr>
        <w:tab/>
      </w:r>
      <w:r>
        <w:rPr>
          <w:rFonts w:ascii="Times New Roman" w:cs="Times New Roman"/>
        </w:rPr>
        <w:t>1</w:t>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"_Toc4542" </w:instrText>
      </w:r>
      <w:r>
        <w:fldChar w:fldCharType="separate"/>
      </w:r>
      <w:r>
        <w:rPr>
          <w:rFonts w:ascii="Times New Roman" w:cs="Times New Roman"/>
        </w:rPr>
        <w:t>2 术语和符号</w:t>
      </w:r>
      <w:r>
        <w:rPr>
          <w:rFonts w:ascii="Times New Roman" w:cs="Times New Roman"/>
        </w:rPr>
        <w:tab/>
      </w:r>
      <w:r>
        <w:rPr>
          <w:rFonts w:ascii="Times New Roman" w:cs="Times New Roman"/>
        </w:rPr>
        <w:fldChar w:fldCharType="begin"/>
      </w:r>
      <w:r>
        <w:rPr>
          <w:rFonts w:ascii="Times New Roman" w:cs="Times New Roman"/>
        </w:rPr>
        <w:instrText xml:space="preserve"> PAGEREF _Toc4542 \h </w:instrText>
      </w:r>
      <w:r>
        <w:rPr>
          <w:rFonts w:ascii="Times New Roman" w:cs="Times New Roman"/>
        </w:rPr>
        <w:fldChar w:fldCharType="separate"/>
      </w:r>
      <w:r>
        <w:rPr>
          <w:rFonts w:ascii="Times New Roman" w:cs="Times New Roman"/>
        </w:rPr>
        <w:t>2</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"_Toc13476" </w:instrText>
      </w:r>
      <w:r>
        <w:fldChar w:fldCharType="separate"/>
      </w:r>
      <w:r>
        <w:rPr>
          <w:rFonts w:ascii="Times New Roman" w:hAnsi="Times New Roman" w:cs="Times New Roman"/>
        </w:rPr>
        <w:t>2.1 术语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_Toc13476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"_Toc13782" </w:instrText>
      </w:r>
      <w:r>
        <w:fldChar w:fldCharType="separate"/>
      </w:r>
      <w:r>
        <w:rPr>
          <w:rFonts w:ascii="Times New Roman" w:hAnsi="Times New Roman" w:cs="Times New Roman"/>
        </w:rPr>
        <w:t>2.2 符号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"_Toc21893" </w:instrText>
      </w:r>
      <w:r>
        <w:fldChar w:fldCharType="separate"/>
      </w:r>
      <w:r>
        <w:rPr>
          <w:rFonts w:ascii="Times New Roman" w:cs="Times New Roman"/>
        </w:rPr>
        <w:t>3 基本规定</w:t>
      </w:r>
      <w:r>
        <w:rPr>
          <w:rFonts w:ascii="Times New Roman" w:cs="Times New Roman"/>
        </w:rPr>
        <w:tab/>
      </w:r>
      <w:r>
        <w:rPr>
          <w:rFonts w:ascii="Times New Roman" w:cs="Times New Roman"/>
        </w:rPr>
        <w:fldChar w:fldCharType="begin"/>
      </w:r>
      <w:r>
        <w:rPr>
          <w:rFonts w:ascii="Times New Roman" w:cs="Times New Roman"/>
        </w:rPr>
        <w:instrText xml:space="preserve"> PAGEREF _Toc21893 \h </w:instrText>
      </w:r>
      <w:r>
        <w:rPr>
          <w:rFonts w:ascii="Times New Roman" w:cs="Times New Roman"/>
        </w:rPr>
        <w:fldChar w:fldCharType="separate"/>
      </w:r>
      <w:r>
        <w:rPr>
          <w:rFonts w:ascii="Times New Roman" w:cs="Times New Roman"/>
        </w:rPr>
        <w:t>5</w:t>
      </w:r>
      <w:r>
        <w:rPr>
          <w:rFonts w:ascii="Times New Roman" w:cs="Times New Roman"/>
        </w:rPr>
        <w:fldChar w:fldCharType="end"/>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"_Toc10711" </w:instrText>
      </w:r>
      <w:r>
        <w:fldChar w:fldCharType="separate"/>
      </w:r>
      <w:r>
        <w:rPr>
          <w:rFonts w:ascii="Times New Roman" w:cs="Times New Roman"/>
        </w:rPr>
        <w:t>4 建筑设计</w:t>
      </w:r>
      <w:r>
        <w:rPr>
          <w:rFonts w:ascii="Times New Roman" w:cs="Times New Roman"/>
        </w:rPr>
        <w:tab/>
      </w:r>
      <w:r>
        <w:rPr>
          <w:rFonts w:ascii="Times New Roman" w:cs="Times New Roman"/>
        </w:rPr>
        <w:fldChar w:fldCharType="begin"/>
      </w:r>
      <w:r>
        <w:rPr>
          <w:rFonts w:ascii="Times New Roman" w:cs="Times New Roman"/>
        </w:rPr>
        <w:instrText xml:space="preserve"> PAGEREF _Toc10711 \h </w:instrText>
      </w:r>
      <w:r>
        <w:rPr>
          <w:rFonts w:ascii="Times New Roman" w:cs="Times New Roman"/>
        </w:rPr>
        <w:fldChar w:fldCharType="separate"/>
      </w:r>
      <w:r>
        <w:rPr>
          <w:rFonts w:ascii="Times New Roman" w:cs="Times New Roman"/>
        </w:rPr>
        <w:t>7</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"_Toc31539" </w:instrText>
      </w:r>
      <w:r>
        <w:fldChar w:fldCharType="separate"/>
      </w:r>
      <w:r>
        <w:rPr>
          <w:rFonts w:ascii="Times New Roman" w:hAnsi="Times New Roman" w:cs="Times New Roman"/>
        </w:rPr>
        <w:t>4.1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_Toc31539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"_Toc8919" </w:instrText>
      </w:r>
      <w:r>
        <w:fldChar w:fldCharType="separate"/>
      </w:r>
      <w:r>
        <w:rPr>
          <w:rFonts w:ascii="Times New Roman" w:hAnsi="Times New Roman" w:cs="Times New Roman"/>
        </w:rPr>
        <w:t>4.2 绿色建筑与建筑节能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_Toc8919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"_Toc1197" </w:instrText>
      </w:r>
      <w:r>
        <w:fldChar w:fldCharType="separate"/>
      </w:r>
      <w:r>
        <w:rPr>
          <w:rFonts w:ascii="Times New Roman" w:hAnsi="Times New Roman" w:cs="Times New Roman"/>
        </w:rPr>
        <w:t>4.3 平面设计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_Toc1197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"_Toc4375" </w:instrText>
      </w:r>
      <w:r>
        <w:fldChar w:fldCharType="separate"/>
      </w:r>
      <w:r>
        <w:rPr>
          <w:rFonts w:ascii="Times New Roman" w:hAnsi="Times New Roman" w:cs="Times New Roman"/>
        </w:rPr>
        <w:t>4.4 立面设计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_Toc4375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"_Toc24964" </w:instrText>
      </w:r>
      <w:r>
        <w:fldChar w:fldCharType="separate"/>
      </w:r>
      <w:r>
        <w:rPr>
          <w:rFonts w:ascii="Times New Roman" w:hAnsi="Times New Roman" w:cs="Times New Roman"/>
        </w:rPr>
        <w:t>4.5 墙体系统设计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_Toc24964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"_Toc11499" </w:instrText>
      </w:r>
      <w:r>
        <w:fldChar w:fldCharType="separate"/>
      </w:r>
      <w:r>
        <w:rPr>
          <w:rFonts w:ascii="Times New Roman" w:hAnsi="Times New Roman" w:cs="Times New Roman"/>
        </w:rPr>
        <w:t>4.6 楼屋面系统设计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_Toc11499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"_Toc31649" </w:instrText>
      </w:r>
      <w:r>
        <w:fldChar w:fldCharType="separate"/>
      </w:r>
      <w:r>
        <w:rPr>
          <w:rFonts w:ascii="Times New Roman" w:hAnsi="Times New Roman" w:cs="Times New Roman"/>
        </w:rPr>
        <w:t>4.7 装饰装修设计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_Toc31649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"_Toc2034" </w:instrText>
      </w:r>
      <w:r>
        <w:fldChar w:fldCharType="separate"/>
      </w:r>
      <w:r>
        <w:rPr>
          <w:rFonts w:ascii="Times New Roman" w:cs="Times New Roman"/>
        </w:rPr>
        <w:t>5 结构设计</w:t>
      </w:r>
      <w:r>
        <w:rPr>
          <w:rFonts w:ascii="Times New Roman" w:cs="Times New Roman"/>
        </w:rPr>
        <w:tab/>
      </w:r>
      <w:r>
        <w:rPr>
          <w:rFonts w:ascii="Times New Roman" w:cs="Times New Roman"/>
        </w:rPr>
        <w:fldChar w:fldCharType="begin"/>
      </w:r>
      <w:r>
        <w:rPr>
          <w:rFonts w:ascii="Times New Roman" w:cs="Times New Roman"/>
        </w:rPr>
        <w:instrText xml:space="preserve"> PAGEREF _Toc2034 \h </w:instrText>
      </w:r>
      <w:r>
        <w:rPr>
          <w:rFonts w:ascii="Times New Roman" w:cs="Times New Roman"/>
        </w:rPr>
        <w:fldChar w:fldCharType="separate"/>
      </w:r>
      <w:r>
        <w:rPr>
          <w:rFonts w:ascii="Times New Roman" w:cs="Times New Roman"/>
        </w:rPr>
        <w:t>18</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"_Toc6160" </w:instrText>
      </w:r>
      <w:r>
        <w:fldChar w:fldCharType="separate"/>
      </w:r>
      <w:r>
        <w:rPr>
          <w:rFonts w:ascii="Times New Roman" w:hAnsi="Times New Roman" w:cs="Times New Roman"/>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_Toc6160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"_Toc11571" </w:instrText>
      </w:r>
      <w:r>
        <w:fldChar w:fldCharType="separate"/>
      </w:r>
      <w:r>
        <w:rPr>
          <w:rFonts w:ascii="Times New Roman" w:hAnsi="Times New Roman" w:cs="Times New Roman"/>
        </w:rPr>
        <w:t>5.2 荷载和作用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_Toc11571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"_Toc12101" </w:instrText>
      </w:r>
      <w:r>
        <w:fldChar w:fldCharType="separate"/>
      </w:r>
      <w:r>
        <w:rPr>
          <w:rFonts w:ascii="Times New Roman" w:hAnsi="Times New Roman" w:cs="Times New Roman"/>
        </w:rPr>
        <w:t>5.3 结构材料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_Toc12101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"_Toc28362" </w:instrText>
      </w:r>
      <w:r>
        <w:fldChar w:fldCharType="separate"/>
      </w:r>
      <w:r>
        <w:rPr>
          <w:rFonts w:ascii="Times New Roman" w:hAnsi="Times New Roman" w:cs="Times New Roman"/>
        </w:rPr>
        <w:t>5.4 结构分析与设计原则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_Toc28362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"_Toc126" </w:instrText>
      </w:r>
      <w:r>
        <w:fldChar w:fldCharType="separate"/>
      </w:r>
      <w:r>
        <w:rPr>
          <w:rFonts w:ascii="Times New Roman" w:hAnsi="Times New Roman" w:cs="Times New Roman"/>
        </w:rPr>
        <w:t>5.5 结构体系设计规定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_Toc126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"_Toc13896" </w:instrText>
      </w:r>
      <w:r>
        <w:fldChar w:fldCharType="separate"/>
      </w:r>
      <w:r>
        <w:rPr>
          <w:rFonts w:ascii="Times New Roman" w:hAnsi="Times New Roman" w:cs="Times New Roman"/>
        </w:rPr>
        <w:t>5.6 结构构件设计规定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_Toc13896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"_Toc295" </w:instrText>
      </w:r>
      <w:r>
        <w:fldChar w:fldCharType="separate"/>
      </w:r>
      <w:r>
        <w:rPr>
          <w:rFonts w:ascii="Times New Roman" w:hAnsi="Times New Roman" w:cs="Times New Roman"/>
        </w:rPr>
        <w:t>5.7 构件承载力计算</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_Toc295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"_Toc5381" </w:instrText>
      </w:r>
      <w:r>
        <w:fldChar w:fldCharType="separate"/>
      </w:r>
      <w:r>
        <w:rPr>
          <w:rFonts w:ascii="Times New Roman" w:hAnsi="Times New Roman" w:cs="Times New Roman"/>
        </w:rPr>
        <w:t>5.8 节点连接设计和构造</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_Toc5381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"_Toc4204" </w:instrText>
      </w:r>
      <w:r>
        <w:fldChar w:fldCharType="separate"/>
      </w:r>
      <w:r>
        <w:rPr>
          <w:rFonts w:ascii="Times New Roman" w:hAnsi="Times New Roman" w:cs="Times New Roman"/>
        </w:rPr>
        <w:t>5.9 楼盖结构设计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_Toc4204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"_Toc31717" </w:instrText>
      </w:r>
      <w:r>
        <w:fldChar w:fldCharType="separate"/>
      </w:r>
      <w:r>
        <w:rPr>
          <w:rFonts w:ascii="Times New Roman" w:cs="Times New Roman"/>
        </w:rPr>
        <w:t>6 建筑设备管线设计</w:t>
      </w:r>
      <w:r>
        <w:rPr>
          <w:rFonts w:ascii="Times New Roman" w:cs="Times New Roman"/>
        </w:rPr>
        <w:tab/>
      </w:r>
      <w:r>
        <w:rPr>
          <w:rFonts w:ascii="Times New Roman" w:cs="Times New Roman"/>
        </w:rPr>
        <w:fldChar w:fldCharType="begin"/>
      </w:r>
      <w:r>
        <w:rPr>
          <w:rFonts w:ascii="Times New Roman" w:cs="Times New Roman"/>
        </w:rPr>
        <w:instrText xml:space="preserve"> PAGEREF _Toc31717 \h </w:instrText>
      </w:r>
      <w:r>
        <w:rPr>
          <w:rFonts w:ascii="Times New Roman" w:cs="Times New Roman"/>
        </w:rPr>
        <w:fldChar w:fldCharType="separate"/>
      </w:r>
      <w:r>
        <w:rPr>
          <w:rFonts w:ascii="Times New Roman" w:cs="Times New Roman"/>
        </w:rPr>
        <w:t>38</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"_Toc22626" </w:instrText>
      </w:r>
      <w:r>
        <w:fldChar w:fldCharType="separate"/>
      </w:r>
      <w:r>
        <w:rPr>
          <w:rFonts w:ascii="Times New Roman" w:hAnsi="Times New Roman" w:cs="Times New Roman"/>
        </w:rPr>
        <w:t>6.1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_Toc22626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"_Toc32354" </w:instrText>
      </w:r>
      <w:r>
        <w:fldChar w:fldCharType="separate"/>
      </w:r>
      <w:r>
        <w:rPr>
          <w:rFonts w:ascii="Times New Roman" w:hAnsi="Times New Roman" w:cs="Times New Roman"/>
        </w:rPr>
        <w:t>6.2 给水排水设计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_Toc32354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"_Toc20843" </w:instrText>
      </w:r>
      <w:r>
        <w:fldChar w:fldCharType="separate"/>
      </w:r>
      <w:r>
        <w:rPr>
          <w:rFonts w:ascii="Times New Roman" w:hAnsi="Times New Roman" w:cs="Times New Roman"/>
        </w:rPr>
        <w:t>6.3 电气和智能化设计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_Toc20843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"_Toc25312" </w:instrText>
      </w:r>
      <w:r>
        <w:fldChar w:fldCharType="separate"/>
      </w:r>
      <w:r>
        <w:rPr>
          <w:rFonts w:ascii="Times New Roman" w:hAnsi="Times New Roman" w:cs="Times New Roman"/>
        </w:rPr>
        <w:t>6.4 建筑供暖、通风、空调及燃气设计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_Toc25312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sectPr>
          <w:footerReference r:id="rId11" w:type="default"/>
          <w:pgSz w:w="11906" w:h="16838"/>
          <w:pgMar w:top="1474" w:right="1474" w:bottom="1474" w:left="1588" w:header="1418" w:footer="1134" w:gutter="0"/>
          <w:pgNumType w:start="1"/>
          <w:cols w:space="425" w:num="1"/>
          <w:formProt w:val="0"/>
          <w:docGrid w:type="lines" w:linePitch="312" w:charSpace="0"/>
        </w:sectPr>
      </w:pPr>
    </w:p>
    <w:p>
      <w:pPr>
        <w:pStyle w:val="27"/>
        <w:tabs>
          <w:tab w:val="right" w:leader="dot" w:pos="8306"/>
          <w:tab w:val="clear" w:pos="9242"/>
        </w:tabs>
        <w:spacing w:before="78" w:after="78"/>
        <w:rPr>
          <w:rFonts w:ascii="Times New Roman" w:cs="Times New Roman"/>
        </w:rPr>
      </w:pPr>
      <w:r>
        <w:fldChar w:fldCharType="begin"/>
      </w:r>
      <w:r>
        <w:instrText xml:space="preserve"> HYPERLINK \l "_Toc16834" </w:instrText>
      </w:r>
      <w:r>
        <w:fldChar w:fldCharType="separate"/>
      </w:r>
      <w:r>
        <w:rPr>
          <w:rFonts w:ascii="Times New Roman" w:cs="Times New Roman"/>
        </w:rPr>
        <w:t>7 钢结构的防护</w:t>
      </w:r>
      <w:r>
        <w:rPr>
          <w:rFonts w:ascii="Times New Roman" w:cs="Times New Roman"/>
        </w:rPr>
        <w:tab/>
      </w:r>
      <w:r>
        <w:rPr>
          <w:rFonts w:ascii="Times New Roman" w:cs="Times New Roman"/>
        </w:rPr>
        <w:fldChar w:fldCharType="begin"/>
      </w:r>
      <w:r>
        <w:rPr>
          <w:rFonts w:ascii="Times New Roman" w:cs="Times New Roman"/>
        </w:rPr>
        <w:instrText xml:space="preserve"> PAGEREF _Toc16834 \h </w:instrText>
      </w:r>
      <w:r>
        <w:rPr>
          <w:rFonts w:ascii="Times New Roman" w:cs="Times New Roman"/>
        </w:rPr>
        <w:fldChar w:fldCharType="separate"/>
      </w:r>
      <w:r>
        <w:rPr>
          <w:rFonts w:ascii="Times New Roman" w:cs="Times New Roman"/>
        </w:rPr>
        <w:t>42</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"_Toc4749" </w:instrText>
      </w:r>
      <w:r>
        <w:fldChar w:fldCharType="separate"/>
      </w:r>
      <w:r>
        <w:rPr>
          <w:rFonts w:ascii="Times New Roman" w:hAnsi="Times New Roman" w:cs="Times New Roman"/>
        </w:rPr>
        <w:t>7.1 防火设计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_Toc4749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"_Toc8779" </w:instrText>
      </w:r>
      <w:r>
        <w:fldChar w:fldCharType="separate"/>
      </w:r>
      <w:r>
        <w:rPr>
          <w:rFonts w:ascii="Times New Roman" w:hAnsi="Times New Roman" w:cs="Times New Roman"/>
        </w:rPr>
        <w:t>7.2 防腐设计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_Toc8779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"_Toc19807" </w:instrText>
      </w:r>
      <w:r>
        <w:fldChar w:fldCharType="separate"/>
      </w:r>
      <w:r>
        <w:rPr>
          <w:rFonts w:ascii="Times New Roman" w:cs="Times New Roman"/>
        </w:rPr>
        <w:t>8 部品部件制作与运输</w:t>
      </w:r>
      <w:r>
        <w:rPr>
          <w:rFonts w:ascii="Times New Roman" w:cs="Times New Roman"/>
        </w:rPr>
        <w:tab/>
      </w:r>
      <w:r>
        <w:rPr>
          <w:rFonts w:ascii="Times New Roman" w:cs="Times New Roman"/>
        </w:rPr>
        <w:fldChar w:fldCharType="begin"/>
      </w:r>
      <w:r>
        <w:rPr>
          <w:rFonts w:ascii="Times New Roman" w:cs="Times New Roman"/>
        </w:rPr>
        <w:instrText xml:space="preserve"> PAGEREF _Toc19807 \h </w:instrText>
      </w:r>
      <w:r>
        <w:rPr>
          <w:rFonts w:ascii="Times New Roman" w:cs="Times New Roman"/>
        </w:rPr>
        <w:fldChar w:fldCharType="separate"/>
      </w:r>
      <w:r>
        <w:rPr>
          <w:rFonts w:ascii="Times New Roman" w:cs="Times New Roman"/>
        </w:rPr>
        <w:t>45</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"_Toc23336" </w:instrText>
      </w:r>
      <w:r>
        <w:fldChar w:fldCharType="separate"/>
      </w:r>
      <w:r>
        <w:rPr>
          <w:rFonts w:ascii="Times New Roman" w:hAnsi="Times New Roman" w:cs="Times New Roman"/>
        </w:rPr>
        <w:t>8.1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_Toc23336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"_Toc27377" </w:instrText>
      </w:r>
      <w:r>
        <w:fldChar w:fldCharType="separate"/>
      </w:r>
      <w:r>
        <w:rPr>
          <w:rFonts w:ascii="Times New Roman" w:hAnsi="Times New Roman" w:cs="Times New Roman"/>
        </w:rPr>
        <w:t>8.2 制作准备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_Toc27377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"_Toc7578" </w:instrText>
      </w:r>
      <w:r>
        <w:fldChar w:fldCharType="separate"/>
      </w:r>
      <w:r>
        <w:rPr>
          <w:rFonts w:ascii="Times New Roman" w:hAnsi="Times New Roman" w:cs="Times New Roman"/>
        </w:rPr>
        <w:t>8.3 构件制作</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_Toc7578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"_Toc30536" </w:instrText>
      </w:r>
      <w:r>
        <w:fldChar w:fldCharType="separate"/>
      </w:r>
      <w:r>
        <w:rPr>
          <w:rFonts w:ascii="Times New Roman" w:hAnsi="Times New Roman" w:cs="Times New Roman"/>
        </w:rPr>
        <w:t>8.4 运输与堆放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_Toc30536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"_Toc3632" </w:instrText>
      </w:r>
      <w:r>
        <w:fldChar w:fldCharType="separate"/>
      </w:r>
      <w:r>
        <w:rPr>
          <w:rFonts w:ascii="Times New Roman" w:cs="Times New Roman"/>
        </w:rPr>
        <w:t>9 施工安装</w:t>
      </w:r>
      <w:r>
        <w:rPr>
          <w:rFonts w:ascii="Times New Roman" w:cs="Times New Roman"/>
        </w:rPr>
        <w:tab/>
      </w:r>
      <w:r>
        <w:rPr>
          <w:rFonts w:ascii="Times New Roman" w:cs="Times New Roman"/>
        </w:rPr>
        <w:fldChar w:fldCharType="begin"/>
      </w:r>
      <w:r>
        <w:rPr>
          <w:rFonts w:ascii="Times New Roman" w:cs="Times New Roman"/>
        </w:rPr>
        <w:instrText xml:space="preserve"> PAGEREF _Toc3632 \h </w:instrText>
      </w:r>
      <w:r>
        <w:rPr>
          <w:rFonts w:ascii="Times New Roman" w:cs="Times New Roman"/>
        </w:rPr>
        <w:fldChar w:fldCharType="separate"/>
      </w:r>
      <w:r>
        <w:rPr>
          <w:rFonts w:ascii="Times New Roman" w:cs="Times New Roman"/>
        </w:rPr>
        <w:t>50</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"_Toc13005" </w:instrText>
      </w:r>
      <w:r>
        <w:fldChar w:fldCharType="separate"/>
      </w:r>
      <w:r>
        <w:rPr>
          <w:rFonts w:ascii="Times New Roman" w:hAnsi="Times New Roman" w:cs="Times New Roman"/>
        </w:rPr>
        <w:t>9.1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_Toc13005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"_Toc18791" </w:instrText>
      </w:r>
      <w:r>
        <w:fldChar w:fldCharType="separate"/>
      </w:r>
      <w:r>
        <w:rPr>
          <w:rFonts w:ascii="Times New Roman" w:hAnsi="Times New Roman" w:cs="Times New Roman"/>
        </w:rPr>
        <w:t>9.2 施工安装准备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_Toc18791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"_Toc30457" </w:instrText>
      </w:r>
      <w:r>
        <w:fldChar w:fldCharType="separate"/>
      </w:r>
      <w:r>
        <w:rPr>
          <w:rFonts w:ascii="Times New Roman" w:hAnsi="Times New Roman" w:cs="Times New Roman"/>
        </w:rPr>
        <w:t>9.3 安装与连接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_Toc30457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"_Toc24082" </w:instrText>
      </w:r>
      <w:r>
        <w:fldChar w:fldCharType="separate"/>
      </w:r>
      <w:r>
        <w:rPr>
          <w:rFonts w:ascii="Times New Roman" w:hAnsi="Times New Roman" w:cs="Times New Roman"/>
        </w:rPr>
        <w:t>9.4 混凝土浇筑</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_Toc24082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"_Toc19850" </w:instrText>
      </w:r>
      <w:r>
        <w:fldChar w:fldCharType="separate"/>
      </w:r>
      <w:r>
        <w:rPr>
          <w:rFonts w:ascii="Times New Roman" w:cs="Times New Roman"/>
        </w:rPr>
        <w:t>10 检测与验收</w:t>
      </w:r>
      <w:r>
        <w:rPr>
          <w:rFonts w:ascii="Times New Roman" w:cs="Times New Roman"/>
        </w:rPr>
        <w:tab/>
      </w:r>
      <w:r>
        <w:rPr>
          <w:rFonts w:ascii="Times New Roman" w:cs="Times New Roman"/>
        </w:rPr>
        <w:fldChar w:fldCharType="begin"/>
      </w:r>
      <w:r>
        <w:rPr>
          <w:rFonts w:ascii="Times New Roman" w:cs="Times New Roman"/>
        </w:rPr>
        <w:instrText xml:space="preserve"> PAGEREF _Toc19850 \h </w:instrText>
      </w:r>
      <w:r>
        <w:rPr>
          <w:rFonts w:ascii="Times New Roman" w:cs="Times New Roman"/>
        </w:rPr>
        <w:fldChar w:fldCharType="separate"/>
      </w:r>
      <w:r>
        <w:rPr>
          <w:rFonts w:ascii="Times New Roman" w:cs="Times New Roman"/>
        </w:rPr>
        <w:t>57</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"_Toc29771" </w:instrText>
      </w:r>
      <w:r>
        <w:fldChar w:fldCharType="separate"/>
      </w:r>
      <w:r>
        <w:rPr>
          <w:rFonts w:ascii="Times New Roman" w:hAnsi="Times New Roman" w:cs="Times New Roman"/>
        </w:rPr>
        <w:t>10.1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_Toc29771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"_Toc13882" </w:instrText>
      </w:r>
      <w:r>
        <w:fldChar w:fldCharType="separate"/>
      </w:r>
      <w:r>
        <w:rPr>
          <w:rFonts w:ascii="Times New Roman" w:hAnsi="Times New Roman" w:cs="Times New Roman"/>
        </w:rPr>
        <w:t>10.2 结构验收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_Toc13882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"_Toc19654" </w:instrText>
      </w:r>
      <w:r>
        <w:fldChar w:fldCharType="separate"/>
      </w:r>
      <w:r>
        <w:rPr>
          <w:rFonts w:ascii="Times New Roman" w:hAnsi="Times New Roman" w:cs="Times New Roman"/>
        </w:rPr>
        <w:t>10.3 墙板系统验收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_Toc19654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"_Toc14156" </w:instrText>
      </w:r>
      <w:r>
        <w:fldChar w:fldCharType="separate"/>
      </w:r>
      <w:r>
        <w:rPr>
          <w:rFonts w:ascii="Times New Roman" w:hAnsi="Times New Roman" w:cs="Times New Roman"/>
        </w:rPr>
        <w:t>10.4 设备机电系统验收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_Toc14156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"_Toc25515" </w:instrText>
      </w:r>
      <w:r>
        <w:fldChar w:fldCharType="separate"/>
      </w:r>
      <w:r>
        <w:rPr>
          <w:rFonts w:ascii="Times New Roman" w:hAnsi="Times New Roman" w:cs="Times New Roman"/>
        </w:rPr>
        <w:t>10.5 装饰装修验收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_Toc25515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"_Toc30575" </w:instrText>
      </w:r>
      <w:r>
        <w:fldChar w:fldCharType="separate"/>
      </w:r>
      <w:r>
        <w:rPr>
          <w:rFonts w:ascii="Times New Roman" w:hAnsi="Times New Roman" w:cs="Times New Roman"/>
        </w:rPr>
        <w:t>10.6 竣工验收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_Toc30575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"_Toc7020" </w:instrText>
      </w:r>
      <w:r>
        <w:fldChar w:fldCharType="separate"/>
      </w:r>
      <w:r>
        <w:rPr>
          <w:rFonts w:ascii="Times New Roman" w:cs="Times New Roman"/>
        </w:rPr>
        <w:t>11 使用与维护</w:t>
      </w:r>
      <w:r>
        <w:rPr>
          <w:rFonts w:ascii="Times New Roman" w:cs="Times New Roman"/>
        </w:rPr>
        <w:tab/>
      </w:r>
      <w:r>
        <w:rPr>
          <w:rFonts w:ascii="Times New Roman" w:cs="Times New Roman"/>
        </w:rPr>
        <w:fldChar w:fldCharType="begin"/>
      </w:r>
      <w:r>
        <w:rPr>
          <w:rFonts w:ascii="Times New Roman" w:cs="Times New Roman"/>
        </w:rPr>
        <w:instrText xml:space="preserve"> PAGEREF _Toc7020 \h </w:instrText>
      </w:r>
      <w:r>
        <w:rPr>
          <w:rFonts w:ascii="Times New Roman" w:cs="Times New Roman"/>
        </w:rPr>
        <w:fldChar w:fldCharType="separate"/>
      </w:r>
      <w:r>
        <w:rPr>
          <w:rFonts w:ascii="Times New Roman" w:cs="Times New Roman"/>
        </w:rPr>
        <w:t>64</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"_Toc21447" </w:instrText>
      </w:r>
      <w:r>
        <w:fldChar w:fldCharType="separate"/>
      </w:r>
      <w:r>
        <w:rPr>
          <w:rFonts w:ascii="Times New Roman" w:hAnsi="Times New Roman" w:cs="Times New Roman"/>
        </w:rPr>
        <w:t>11.1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_Toc21447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"_Toc14135" </w:instrText>
      </w:r>
      <w:r>
        <w:fldChar w:fldCharType="separate"/>
      </w:r>
      <w:r>
        <w:rPr>
          <w:rFonts w:ascii="Times New Roman" w:hAnsi="Times New Roman" w:cs="Times New Roman"/>
        </w:rPr>
        <w:t>11.2 使用要求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_Toc14135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"_Toc15123" </w:instrText>
      </w:r>
      <w:r>
        <w:fldChar w:fldCharType="separate"/>
      </w:r>
      <w:r>
        <w:rPr>
          <w:rFonts w:ascii="Times New Roman" w:hAnsi="Times New Roman" w:cs="Times New Roman"/>
        </w:rPr>
        <w:t>11.3 维护要求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_Toc15123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"_Toc27114" </w:instrText>
      </w:r>
      <w:r>
        <w:fldChar w:fldCharType="separate"/>
      </w:r>
      <w:r>
        <w:rPr>
          <w:rFonts w:ascii="Times New Roman" w:hAnsi="Times New Roman" w:cs="Times New Roman"/>
        </w:rPr>
        <w:t>11.4 物业服务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_Toc27114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"_Toc8020" </w:instrText>
      </w:r>
      <w:r>
        <w:fldChar w:fldCharType="separate"/>
      </w:r>
      <w:r>
        <w:rPr>
          <w:rFonts w:ascii="Times New Roman" w:cs="Times New Roman"/>
        </w:rPr>
        <w:t>本标准用词说明</w:t>
      </w:r>
      <w:r>
        <w:rPr>
          <w:rFonts w:ascii="Times New Roman" w:cs="Times New Roman"/>
        </w:rPr>
        <w:tab/>
      </w:r>
      <w:r>
        <w:rPr>
          <w:rFonts w:ascii="Times New Roman" w:cs="Times New Roman"/>
        </w:rPr>
        <w:fldChar w:fldCharType="begin"/>
      </w:r>
      <w:r>
        <w:rPr>
          <w:rFonts w:ascii="Times New Roman" w:cs="Times New Roman"/>
        </w:rPr>
        <w:instrText xml:space="preserve"> PAGEREF _Toc8020 \h </w:instrText>
      </w:r>
      <w:r>
        <w:rPr>
          <w:rFonts w:ascii="Times New Roman" w:cs="Times New Roman"/>
        </w:rPr>
        <w:fldChar w:fldCharType="separate"/>
      </w:r>
      <w:r>
        <w:rPr>
          <w:rFonts w:ascii="Times New Roman" w:cs="Times New Roman"/>
        </w:rPr>
        <w:t>67</w:t>
      </w:r>
      <w:r>
        <w:rPr>
          <w:rFonts w:ascii="Times New Roman" w:cs="Times New Roman"/>
        </w:rPr>
        <w:fldChar w:fldCharType="end"/>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"_Toc9654" </w:instrText>
      </w:r>
      <w:r>
        <w:fldChar w:fldCharType="separate"/>
      </w:r>
      <w:r>
        <w:rPr>
          <w:rFonts w:ascii="Times New Roman" w:cs="Times New Roman"/>
        </w:rPr>
        <w:t>引用标准目录</w:t>
      </w:r>
      <w:r>
        <w:rPr>
          <w:rFonts w:ascii="Times New Roman" w:cs="Times New Roman"/>
        </w:rPr>
        <w:tab/>
      </w:r>
      <w:r>
        <w:rPr>
          <w:rFonts w:ascii="Times New Roman" w:cs="Times New Roman"/>
        </w:rPr>
        <w:fldChar w:fldCharType="begin"/>
      </w:r>
      <w:r>
        <w:rPr>
          <w:rFonts w:ascii="Times New Roman" w:cs="Times New Roman"/>
        </w:rPr>
        <w:instrText xml:space="preserve"> PAGEREF _Toc9654 \h </w:instrText>
      </w:r>
      <w:r>
        <w:rPr>
          <w:rFonts w:ascii="Times New Roman" w:cs="Times New Roman"/>
        </w:rPr>
        <w:fldChar w:fldCharType="separate"/>
      </w:r>
      <w:r>
        <w:rPr>
          <w:rFonts w:ascii="Times New Roman" w:cs="Times New Roman"/>
        </w:rPr>
        <w:t>68</w:t>
      </w:r>
      <w:r>
        <w:rPr>
          <w:rFonts w:ascii="Times New Roman" w:cs="Times New Roman"/>
        </w:rPr>
        <w:fldChar w:fldCharType="end"/>
      </w:r>
      <w:r>
        <w:rPr>
          <w:rFonts w:ascii="Times New Roman" w:cs="Times New Roman"/>
        </w:rPr>
        <w:fldChar w:fldCharType="end"/>
      </w:r>
    </w:p>
    <w:p>
      <w:pPr>
        <w:pStyle w:val="18"/>
        <w:ind w:firstLine="0" w:firstLineChars="0"/>
        <w:rPr>
          <w:rFonts w:ascii="Times New Roman" w:cs="Times New Roman"/>
        </w:rPr>
      </w:pPr>
      <w:r>
        <w:rPr>
          <w:rFonts w:ascii="Times New Roman" w:cs="Times New Roman"/>
        </w:rPr>
        <w:fldChar w:fldCharType="end"/>
      </w:r>
    </w:p>
    <w:p>
      <w:pPr>
        <w:tabs>
          <w:tab w:val="left" w:pos="0"/>
          <w:tab w:val="left" w:pos="765"/>
          <w:tab w:val="center" w:pos="4677"/>
        </w:tabs>
        <w:spacing w:before="156" w:after="156" w:line="360" w:lineRule="auto"/>
        <w:ind w:firstLine="0" w:firstLineChars="0"/>
        <w:jc w:val="center"/>
        <w:rPr>
          <w:rFonts w:eastAsiaTheme="minorEastAsia"/>
          <w:b/>
          <w:bCs/>
          <w:sz w:val="32"/>
          <w:szCs w:val="32"/>
        </w:rPr>
        <w:sectPr>
          <w:footerReference r:id="rId12" w:type="default"/>
          <w:pgSz w:w="11906" w:h="16838"/>
          <w:pgMar w:top="1474" w:right="1474" w:bottom="1474" w:left="1588" w:header="1418" w:footer="1134" w:gutter="0"/>
          <w:pgNumType w:start="1"/>
          <w:cols w:space="425" w:num="1"/>
          <w:formProt w:val="0"/>
          <w:docGrid w:type="lines" w:linePitch="312" w:charSpace="0"/>
        </w:sectPr>
      </w:pPr>
      <w:bookmarkStart w:id="1" w:name="_Toc36207139"/>
      <w:bookmarkStart w:id="2" w:name="_Toc532376135"/>
      <w:bookmarkStart w:id="3" w:name="_Toc20553"/>
    </w:p>
    <w:p>
      <w:pPr>
        <w:tabs>
          <w:tab w:val="left" w:pos="0"/>
          <w:tab w:val="left" w:pos="765"/>
          <w:tab w:val="center" w:pos="4677"/>
        </w:tabs>
        <w:spacing w:before="156" w:after="156" w:line="360" w:lineRule="auto"/>
        <w:ind w:firstLine="0" w:firstLineChars="0"/>
        <w:jc w:val="center"/>
        <w:rPr>
          <w:rFonts w:eastAsiaTheme="minorEastAsia"/>
          <w:b/>
          <w:bCs/>
          <w:sz w:val="32"/>
          <w:szCs w:val="32"/>
        </w:rPr>
      </w:pPr>
      <w:r>
        <w:rPr>
          <w:rFonts w:eastAsiaTheme="minorEastAsia"/>
          <w:b/>
          <w:bCs/>
          <w:sz w:val="32"/>
          <w:szCs w:val="32"/>
        </w:rPr>
        <w:t>Contents</w:t>
      </w:r>
    </w:p>
    <w:p>
      <w:pPr>
        <w:pStyle w:val="27"/>
        <w:tabs>
          <w:tab w:val="right" w:leader="dot" w:pos="8306"/>
          <w:tab w:val="clear" w:pos="9242"/>
        </w:tabs>
        <w:spacing w:before="78" w:after="78"/>
        <w:rPr>
          <w:rFonts w:ascii="Times New Roman" w:cs="Times New Roman"/>
        </w:rPr>
      </w:pPr>
      <w:r>
        <w:rPr>
          <w:rFonts w:ascii="Times New Roman" w:cs="Times New Roman"/>
        </w:rPr>
        <w:fldChar w:fldCharType="begin"/>
      </w:r>
      <w:r>
        <w:rPr>
          <w:rFonts w:ascii="Times New Roman" w:cs="Times New Roman"/>
        </w:rPr>
        <w:instrText xml:space="preserve">TOC \o "1-2" \h \z \u</w:instrText>
      </w:r>
      <w:r>
        <w:rPr>
          <w:rFonts w:ascii="Times New Roman" w:cs="Times New Roman"/>
        </w:rPr>
        <w:fldChar w:fldCharType="separate"/>
      </w:r>
      <w:r>
        <w:fldChar w:fldCharType="begin"/>
      </w:r>
      <w:r>
        <w:instrText xml:space="preserve"> HYPERLINK \l "_Toc20553" </w:instrText>
      </w:r>
      <w:r>
        <w:fldChar w:fldCharType="separate"/>
      </w:r>
      <w:r>
        <w:rPr>
          <w:rFonts w:ascii="Times New Roman" w:cs="Times New Roman"/>
        </w:rPr>
        <w:t>1 General Provisions</w:t>
      </w:r>
      <w:r>
        <w:rPr>
          <w:rFonts w:ascii="Times New Roman" w:cs="Times New Roman"/>
        </w:rPr>
        <w:tab/>
      </w:r>
      <w:r>
        <w:rPr>
          <w:rFonts w:ascii="Times New Roman" w:cs="Times New Roman"/>
        </w:rPr>
        <w:t>1</w:t>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"_Toc4542" </w:instrText>
      </w:r>
      <w:r>
        <w:fldChar w:fldCharType="separate"/>
      </w:r>
      <w:r>
        <w:rPr>
          <w:rFonts w:ascii="Times New Roman" w:cs="Times New Roman"/>
        </w:rPr>
        <w:t>2 Terms and Symbols</w:t>
      </w:r>
      <w:r>
        <w:rPr>
          <w:rFonts w:ascii="Times New Roman" w:cs="Times New Roman"/>
        </w:rPr>
        <w:tab/>
      </w:r>
      <w:r>
        <w:rPr>
          <w:rFonts w:ascii="Times New Roman" w:cs="Times New Roman"/>
        </w:rPr>
        <w:fldChar w:fldCharType="begin"/>
      </w:r>
      <w:r>
        <w:rPr>
          <w:rFonts w:ascii="Times New Roman" w:cs="Times New Roman"/>
        </w:rPr>
        <w:instrText xml:space="preserve"> PAGEREF _Toc4542 \h </w:instrText>
      </w:r>
      <w:r>
        <w:rPr>
          <w:rFonts w:ascii="Times New Roman" w:cs="Times New Roman"/>
        </w:rPr>
        <w:fldChar w:fldCharType="separate"/>
      </w:r>
      <w:r>
        <w:rPr>
          <w:rFonts w:ascii="Times New Roman" w:cs="Times New Roman"/>
        </w:rPr>
        <w:t>2</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"_Toc13476" </w:instrText>
      </w:r>
      <w:r>
        <w:fldChar w:fldCharType="separate"/>
      </w:r>
      <w:r>
        <w:rPr>
          <w:rFonts w:ascii="Times New Roman" w:hAnsi="Times New Roman" w:cs="Times New Roman"/>
        </w:rPr>
        <w:t>2.1 Terms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_Toc13476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"_Toc13782" </w:instrText>
      </w:r>
      <w:r>
        <w:fldChar w:fldCharType="separate"/>
      </w:r>
      <w:r>
        <w:rPr>
          <w:rFonts w:ascii="Times New Roman" w:hAnsi="Times New Roman" w:cs="Times New Roman"/>
        </w:rPr>
        <w:t>2.2 Symbols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_Toc13782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"_Toc21893" </w:instrText>
      </w:r>
      <w:r>
        <w:fldChar w:fldCharType="separate"/>
      </w:r>
      <w:r>
        <w:rPr>
          <w:rFonts w:ascii="Times New Roman" w:cs="Times New Roman"/>
        </w:rPr>
        <w:t>3 Basic Requirements</w:t>
      </w:r>
      <w:r>
        <w:rPr>
          <w:rFonts w:ascii="Times New Roman" w:cs="Times New Roman"/>
        </w:rPr>
        <w:tab/>
      </w:r>
      <w:r>
        <w:rPr>
          <w:rFonts w:ascii="Times New Roman" w:cs="Times New Roman"/>
        </w:rPr>
        <w:fldChar w:fldCharType="begin"/>
      </w:r>
      <w:r>
        <w:rPr>
          <w:rFonts w:ascii="Times New Roman" w:cs="Times New Roman"/>
        </w:rPr>
        <w:instrText xml:space="preserve"> PAGEREF _Toc21893 \h </w:instrText>
      </w:r>
      <w:r>
        <w:rPr>
          <w:rFonts w:ascii="Times New Roman" w:cs="Times New Roman"/>
        </w:rPr>
        <w:fldChar w:fldCharType="separate"/>
      </w:r>
      <w:r>
        <w:rPr>
          <w:rFonts w:ascii="Times New Roman" w:cs="Times New Roman"/>
        </w:rPr>
        <w:t>5</w:t>
      </w:r>
      <w:r>
        <w:rPr>
          <w:rFonts w:ascii="Times New Roman" w:cs="Times New Roman"/>
        </w:rPr>
        <w:fldChar w:fldCharType="end"/>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"_Toc10711" </w:instrText>
      </w:r>
      <w:r>
        <w:fldChar w:fldCharType="separate"/>
      </w:r>
      <w:r>
        <w:rPr>
          <w:rFonts w:ascii="Times New Roman" w:cs="Times New Roman"/>
        </w:rPr>
        <w:t>4 Architectural Design</w:t>
      </w:r>
      <w:r>
        <w:rPr>
          <w:rFonts w:ascii="Times New Roman" w:cs="Times New Roman"/>
        </w:rPr>
        <w:tab/>
      </w:r>
      <w:r>
        <w:rPr>
          <w:rFonts w:ascii="Times New Roman" w:cs="Times New Roman"/>
        </w:rPr>
        <w:fldChar w:fldCharType="begin"/>
      </w:r>
      <w:r>
        <w:rPr>
          <w:rFonts w:ascii="Times New Roman" w:cs="Times New Roman"/>
        </w:rPr>
        <w:instrText xml:space="preserve"> PAGEREF _Toc10711 \h </w:instrText>
      </w:r>
      <w:r>
        <w:rPr>
          <w:rFonts w:ascii="Times New Roman" w:cs="Times New Roman"/>
        </w:rPr>
        <w:fldChar w:fldCharType="separate"/>
      </w:r>
      <w:r>
        <w:rPr>
          <w:rFonts w:ascii="Times New Roman" w:cs="Times New Roman"/>
        </w:rPr>
        <w:t>7</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"_Toc31539" </w:instrText>
      </w:r>
      <w:r>
        <w:fldChar w:fldCharType="separate"/>
      </w:r>
      <w:r>
        <w:rPr>
          <w:rFonts w:ascii="Times New Roman" w:hAnsi="Times New Roman" w:cs="Times New Roman"/>
        </w:rPr>
        <w:t>4.1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_Toc31539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"_Toc8919" </w:instrText>
      </w:r>
      <w:r>
        <w:fldChar w:fldCharType="separate"/>
      </w:r>
      <w:r>
        <w:rPr>
          <w:rFonts w:ascii="Times New Roman" w:hAnsi="Times New Roman" w:cs="Times New Roman"/>
        </w:rPr>
        <w:t>4.2 Green Building and Building Energy Efficiency</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_Toc8919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"_Toc1197" </w:instrText>
      </w:r>
      <w:r>
        <w:fldChar w:fldCharType="separate"/>
      </w:r>
      <w:r>
        <w:rPr>
          <w:rFonts w:ascii="Times New Roman" w:hAnsi="Times New Roman" w:cs="Times New Roman"/>
        </w:rPr>
        <w:t>4.3 Plane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_Toc1197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"_Toc4375" </w:instrText>
      </w:r>
      <w:r>
        <w:fldChar w:fldCharType="separate"/>
      </w:r>
      <w:r>
        <w:rPr>
          <w:rFonts w:ascii="Times New Roman" w:hAnsi="Times New Roman" w:cs="Times New Roman"/>
        </w:rPr>
        <w:t>4.4 Elevation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_Toc4375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"_Toc24964" </w:instrText>
      </w:r>
      <w:r>
        <w:fldChar w:fldCharType="separate"/>
      </w:r>
      <w:r>
        <w:rPr>
          <w:rFonts w:ascii="Times New Roman" w:hAnsi="Times New Roman" w:cs="Times New Roman"/>
        </w:rPr>
        <w:t>4.5 Building Envelope System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_Toc24964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"_Toc11499" </w:instrText>
      </w:r>
      <w:r>
        <w:fldChar w:fldCharType="separate"/>
      </w:r>
      <w:r>
        <w:rPr>
          <w:rFonts w:ascii="Times New Roman" w:hAnsi="Times New Roman" w:cs="Times New Roman"/>
        </w:rPr>
        <w:t>4.6 Floor and Roof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_Toc11499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"_Toc31649" </w:instrText>
      </w:r>
      <w:r>
        <w:fldChar w:fldCharType="separate"/>
      </w:r>
      <w:r>
        <w:rPr>
          <w:rFonts w:ascii="Times New Roman" w:hAnsi="Times New Roman" w:cs="Times New Roman"/>
        </w:rPr>
        <w:t>4.7 Decoration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_Toc31649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"_Toc2034" </w:instrText>
      </w:r>
      <w:r>
        <w:fldChar w:fldCharType="separate"/>
      </w:r>
      <w:r>
        <w:rPr>
          <w:rFonts w:ascii="Times New Roman" w:cs="Times New Roman"/>
        </w:rPr>
        <w:t>5 Structur</w:t>
      </w:r>
      <w:r>
        <w:rPr>
          <w:rFonts w:hint="eastAsia" w:ascii="Times New Roman" w:cs="Times New Roman"/>
        </w:rPr>
        <w:t>al</w:t>
      </w:r>
      <w:r>
        <w:rPr>
          <w:rFonts w:ascii="Times New Roman" w:cs="Times New Roman"/>
        </w:rPr>
        <w:t xml:space="preserve"> Design</w:t>
      </w:r>
      <w:r>
        <w:rPr>
          <w:rFonts w:ascii="Times New Roman" w:cs="Times New Roman"/>
        </w:rPr>
        <w:tab/>
      </w:r>
      <w:r>
        <w:rPr>
          <w:rFonts w:ascii="Times New Roman" w:cs="Times New Roman"/>
        </w:rPr>
        <w:fldChar w:fldCharType="begin"/>
      </w:r>
      <w:r>
        <w:rPr>
          <w:rFonts w:ascii="Times New Roman" w:cs="Times New Roman"/>
        </w:rPr>
        <w:instrText xml:space="preserve"> PAGEREF _Toc2034 \h </w:instrText>
      </w:r>
      <w:r>
        <w:rPr>
          <w:rFonts w:ascii="Times New Roman" w:cs="Times New Roman"/>
        </w:rPr>
        <w:fldChar w:fldCharType="separate"/>
      </w:r>
      <w:r>
        <w:rPr>
          <w:rFonts w:ascii="Times New Roman" w:cs="Times New Roman"/>
        </w:rPr>
        <w:t>18</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"_Toc6160" </w:instrText>
      </w:r>
      <w:r>
        <w:fldChar w:fldCharType="separate"/>
      </w:r>
      <w:r>
        <w:rPr>
          <w:rFonts w:ascii="Times New Roman" w:hAnsi="Times New Roman" w:cs="Times New Roman"/>
        </w:rPr>
        <w:t>5.1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_Toc6160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"_Toc11571" </w:instrText>
      </w:r>
      <w:r>
        <w:fldChar w:fldCharType="separate"/>
      </w:r>
      <w:r>
        <w:rPr>
          <w:rFonts w:ascii="Times New Roman" w:hAnsi="Times New Roman" w:cs="Times New Roman"/>
        </w:rPr>
        <w:t>5.2 Load</w:t>
      </w:r>
      <w:r>
        <w:rPr>
          <w:rFonts w:hint="eastAsia" w:ascii="Times New Roman" w:hAnsi="Times New Roman" w:cs="Times New Roman"/>
        </w:rPr>
        <w:t>ings</w:t>
      </w:r>
      <w:r>
        <w:rPr>
          <w:rFonts w:ascii="Times New Roman" w:hAnsi="Times New Roman" w:cs="Times New Roman"/>
        </w:rPr>
        <w:t xml:space="preserve"> and Actions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_Toc11571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"_Toc12101" </w:instrText>
      </w:r>
      <w:r>
        <w:fldChar w:fldCharType="separate"/>
      </w:r>
      <w:r>
        <w:rPr>
          <w:rFonts w:ascii="Times New Roman" w:hAnsi="Times New Roman" w:cs="Times New Roman"/>
        </w:rPr>
        <w:t>5.3 Strcutral Materials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_Toc12101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"_Toc28362" </w:instrText>
      </w:r>
      <w:r>
        <w:fldChar w:fldCharType="separate"/>
      </w:r>
      <w:r>
        <w:rPr>
          <w:rFonts w:ascii="Times New Roman" w:hAnsi="Times New Roman" w:cs="Times New Roman"/>
        </w:rPr>
        <w:t>5.4 Structural Analysis and Design Principles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_Toc28362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"_Toc126" </w:instrText>
      </w:r>
      <w:r>
        <w:fldChar w:fldCharType="separate"/>
      </w:r>
      <w:r>
        <w:rPr>
          <w:rFonts w:ascii="Times New Roman" w:hAnsi="Times New Roman" w:cs="Times New Roman"/>
        </w:rPr>
        <w:t>5.5 Design Requirements of Structural 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_Toc126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"_Toc13896" </w:instrText>
      </w:r>
      <w:r>
        <w:fldChar w:fldCharType="separate"/>
      </w:r>
      <w:r>
        <w:rPr>
          <w:rFonts w:ascii="Times New Roman" w:hAnsi="Times New Roman" w:cs="Times New Roman"/>
        </w:rPr>
        <w:t>5.6 Design Requirements of Structural 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_Toc13896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"_Toc295" </w:instrText>
      </w:r>
      <w:r>
        <w:fldChar w:fldCharType="separate"/>
      </w:r>
      <w:r>
        <w:rPr>
          <w:rFonts w:ascii="Times New Roman" w:hAnsi="Times New Roman" w:cs="Times New Roman"/>
        </w:rPr>
        <w:t>5.7 Strength Design of Structural 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_Toc295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"_Toc5381" </w:instrText>
      </w:r>
      <w:r>
        <w:fldChar w:fldCharType="separate"/>
      </w:r>
      <w:r>
        <w:rPr>
          <w:rFonts w:ascii="Times New Roman" w:hAnsi="Times New Roman" w:cs="Times New Roman"/>
        </w:rPr>
        <w:t>5.8 Connection Design and Detailing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_Toc5381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"_Toc4204" </w:instrText>
      </w:r>
      <w:r>
        <w:fldChar w:fldCharType="separate"/>
      </w:r>
      <w:r>
        <w:rPr>
          <w:rFonts w:ascii="Times New Roman" w:hAnsi="Times New Roman" w:cs="Times New Roman"/>
        </w:rPr>
        <w:t>5.9 Diaphragm System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_Toc4204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"_Toc31717" </w:instrText>
      </w:r>
      <w:r>
        <w:fldChar w:fldCharType="separate"/>
      </w:r>
      <w:r>
        <w:rPr>
          <w:rFonts w:ascii="Times New Roman" w:cs="Times New Roman"/>
        </w:rPr>
        <w:t>6 Building Facility and Pipeline System Design</w:t>
      </w:r>
      <w:r>
        <w:rPr>
          <w:rFonts w:ascii="Times New Roman" w:cs="Times New Roman"/>
        </w:rPr>
        <w:tab/>
      </w:r>
      <w:r>
        <w:rPr>
          <w:rFonts w:ascii="Times New Roman" w:cs="Times New Roman"/>
        </w:rPr>
        <w:fldChar w:fldCharType="begin"/>
      </w:r>
      <w:r>
        <w:rPr>
          <w:rFonts w:ascii="Times New Roman" w:cs="Times New Roman"/>
        </w:rPr>
        <w:instrText xml:space="preserve"> PAGEREF _Toc31717 \h </w:instrText>
      </w:r>
      <w:r>
        <w:rPr>
          <w:rFonts w:ascii="Times New Roman" w:cs="Times New Roman"/>
        </w:rPr>
        <w:fldChar w:fldCharType="separate"/>
      </w:r>
      <w:r>
        <w:rPr>
          <w:rFonts w:ascii="Times New Roman" w:cs="Times New Roman"/>
        </w:rPr>
        <w:t>38</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"_Toc22626" </w:instrText>
      </w:r>
      <w:r>
        <w:fldChar w:fldCharType="separate"/>
      </w:r>
      <w:r>
        <w:rPr>
          <w:rFonts w:ascii="Times New Roman" w:hAnsi="Times New Roman" w:cs="Times New Roman"/>
        </w:rPr>
        <w:t>6.1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_Toc22626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"_Toc32354" </w:instrText>
      </w:r>
      <w:r>
        <w:fldChar w:fldCharType="separate"/>
      </w:r>
      <w:r>
        <w:rPr>
          <w:rFonts w:ascii="Times New Roman" w:hAnsi="Times New Roman" w:cs="Times New Roman"/>
        </w:rPr>
        <w:t>6.2 Water Supply and Drainage System</w:t>
      </w:r>
      <w:r>
        <w:rPr>
          <w:rFonts w:hint="eastAsia" w:ascii="Times New Roman" w:hAnsi="Times New Roman" w:cs="Times New Roman"/>
        </w:rPr>
        <w:t xml:space="preserve">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_Toc32354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"_Toc20843" </w:instrText>
      </w:r>
      <w:r>
        <w:fldChar w:fldCharType="separate"/>
      </w:r>
      <w:r>
        <w:rPr>
          <w:rFonts w:ascii="Times New Roman" w:hAnsi="Times New Roman" w:cs="Times New Roman"/>
        </w:rPr>
        <w:t>6.3 Electric and Intelligent System</w:t>
      </w:r>
      <w:r>
        <w:rPr>
          <w:rFonts w:hint="eastAsia" w:ascii="Times New Roman" w:hAnsi="Times New Roman" w:cs="Times New Roman"/>
        </w:rPr>
        <w:t xml:space="preserve">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_Toc20843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"_Toc25312" </w:instrText>
      </w:r>
      <w:r>
        <w:fldChar w:fldCharType="separate"/>
      </w:r>
      <w:r>
        <w:rPr>
          <w:rFonts w:ascii="Times New Roman" w:hAnsi="Times New Roman" w:cs="Times New Roman"/>
        </w:rPr>
        <w:t>6.4 Building Heating, Ventilation, Air Conditioning and Gas System</w:t>
      </w:r>
      <w:r>
        <w:rPr>
          <w:rFonts w:hint="eastAsia" w:ascii="Times New Roman" w:hAnsi="Times New Roman" w:cs="Times New Roman"/>
        </w:rPr>
        <w:t xml:space="preserve">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_Toc25312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sectPr>
          <w:footerReference r:id="rId13" w:type="default"/>
          <w:pgSz w:w="11906" w:h="16838"/>
          <w:pgMar w:top="1474" w:right="1474" w:bottom="1474" w:left="1588" w:header="1418" w:footer="1134" w:gutter="0"/>
          <w:pgNumType w:start="1"/>
          <w:cols w:space="425" w:num="1"/>
          <w:formProt w:val="0"/>
          <w:docGrid w:type="lines" w:linePitch="312" w:charSpace="0"/>
        </w:sectPr>
      </w:pPr>
    </w:p>
    <w:p>
      <w:pPr>
        <w:pStyle w:val="27"/>
        <w:tabs>
          <w:tab w:val="right" w:leader="dot" w:pos="8306"/>
          <w:tab w:val="clear" w:pos="9242"/>
        </w:tabs>
        <w:spacing w:before="78" w:after="78"/>
        <w:rPr>
          <w:rFonts w:ascii="Times New Roman" w:cs="Times New Roman"/>
        </w:rPr>
      </w:pPr>
      <w:r>
        <w:fldChar w:fldCharType="begin"/>
      </w:r>
      <w:r>
        <w:instrText xml:space="preserve"> HYPERLINK \l "_Toc16834" </w:instrText>
      </w:r>
      <w:r>
        <w:fldChar w:fldCharType="separate"/>
      </w:r>
      <w:r>
        <w:rPr>
          <w:rFonts w:ascii="Times New Roman" w:cs="Times New Roman"/>
        </w:rPr>
        <w:t>7 Protection of Steel Structure</w:t>
      </w:r>
      <w:r>
        <w:rPr>
          <w:rFonts w:hint="eastAsia" w:ascii="Times New Roman" w:cs="Times New Roman"/>
        </w:rPr>
        <w:t>s</w:t>
      </w:r>
      <w:r>
        <w:rPr>
          <w:rFonts w:ascii="Times New Roman" w:cs="Times New Roman"/>
        </w:rPr>
        <w:tab/>
      </w:r>
      <w:r>
        <w:rPr>
          <w:rFonts w:ascii="Times New Roman" w:cs="Times New Roman"/>
        </w:rPr>
        <w:fldChar w:fldCharType="begin"/>
      </w:r>
      <w:r>
        <w:rPr>
          <w:rFonts w:ascii="Times New Roman" w:cs="Times New Roman"/>
        </w:rPr>
        <w:instrText xml:space="preserve"> PAGEREF _Toc16834 \h </w:instrText>
      </w:r>
      <w:r>
        <w:rPr>
          <w:rFonts w:ascii="Times New Roman" w:cs="Times New Roman"/>
        </w:rPr>
        <w:fldChar w:fldCharType="separate"/>
      </w:r>
      <w:r>
        <w:rPr>
          <w:rFonts w:ascii="Times New Roman" w:cs="Times New Roman"/>
        </w:rPr>
        <w:t>42</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"_Toc4749" </w:instrText>
      </w:r>
      <w:r>
        <w:fldChar w:fldCharType="separate"/>
      </w:r>
      <w:r>
        <w:rPr>
          <w:rFonts w:ascii="Times New Roman" w:hAnsi="Times New Roman" w:cs="Times New Roman"/>
        </w:rPr>
        <w:t>7.1 Fire Protection</w:t>
      </w:r>
      <w:r>
        <w:rPr>
          <w:rFonts w:hint="eastAsia" w:ascii="Times New Roman" w:hAnsi="Times New Roman" w:cs="Times New Roman"/>
        </w:rPr>
        <w:t xml:space="preserve"> 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_Toc4749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"_Toc8779" </w:instrText>
      </w:r>
      <w:r>
        <w:fldChar w:fldCharType="separate"/>
      </w:r>
      <w:r>
        <w:rPr>
          <w:rFonts w:ascii="Times New Roman" w:hAnsi="Times New Roman" w:cs="Times New Roman"/>
        </w:rPr>
        <w:t>7.2 AnticorrosionDesign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_Toc8779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"_Toc19807" </w:instrText>
      </w:r>
      <w:r>
        <w:fldChar w:fldCharType="separate"/>
      </w:r>
      <w:r>
        <w:rPr>
          <w:rFonts w:ascii="Times New Roman" w:cs="Times New Roman"/>
        </w:rPr>
        <w:t>8 Production and Transportation</w:t>
      </w:r>
      <w:r>
        <w:rPr>
          <w:rFonts w:ascii="Times New Roman" w:cs="Times New Roman"/>
        </w:rPr>
        <w:tab/>
      </w:r>
      <w:r>
        <w:rPr>
          <w:rFonts w:ascii="Times New Roman" w:cs="Times New Roman"/>
        </w:rPr>
        <w:fldChar w:fldCharType="begin"/>
      </w:r>
      <w:r>
        <w:rPr>
          <w:rFonts w:ascii="Times New Roman" w:cs="Times New Roman"/>
        </w:rPr>
        <w:instrText xml:space="preserve"> PAGEREF _Toc19807 \h </w:instrText>
      </w:r>
      <w:r>
        <w:rPr>
          <w:rFonts w:ascii="Times New Roman" w:cs="Times New Roman"/>
        </w:rPr>
        <w:fldChar w:fldCharType="separate"/>
      </w:r>
      <w:r>
        <w:rPr>
          <w:rFonts w:ascii="Times New Roman" w:cs="Times New Roman"/>
        </w:rPr>
        <w:t>45</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"_Toc23336" </w:instrText>
      </w:r>
      <w:r>
        <w:fldChar w:fldCharType="separate"/>
      </w:r>
      <w:r>
        <w:rPr>
          <w:rFonts w:ascii="Times New Roman" w:hAnsi="Times New Roman" w:cs="Times New Roman"/>
        </w:rPr>
        <w:t>8.1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_Toc23336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"_Toc27377" </w:instrText>
      </w:r>
      <w:r>
        <w:fldChar w:fldCharType="separate"/>
      </w:r>
      <w:r>
        <w:rPr>
          <w:rFonts w:ascii="Times New Roman" w:hAnsi="Times New Roman" w:cs="Times New Roman"/>
        </w:rPr>
        <w:t>8.2 Preparation of Production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_Toc27377 \h </w:instrText>
      </w:r>
      <w:r>
        <w:rPr>
          <w:rFonts w:ascii="Times New Roman" w:hAnsi="Times New Roman" w:cs="Times New Roman"/>
        </w:rPr>
        <w:fldChar w:fldCharType="separate"/>
      </w:r>
      <w:r>
        <w:rPr>
          <w:rFonts w:ascii="Times New Roman" w:hAnsi="Times New Roman" w:cs="Times New Roman"/>
        </w:rPr>
        <w:t>45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"_Toc7578" </w:instrText>
      </w:r>
      <w:r>
        <w:fldChar w:fldCharType="separate"/>
      </w:r>
      <w:r>
        <w:rPr>
          <w:rFonts w:ascii="Times New Roman" w:hAnsi="Times New Roman" w:cs="Times New Roman"/>
        </w:rPr>
        <w:t xml:space="preserve">8.3 Production of </w:t>
      </w:r>
      <w:r>
        <w:rPr>
          <w:rFonts w:hint="eastAsia" w:ascii="Times New Roman" w:hAnsi="Times New Roman" w:cs="Times New Roman"/>
        </w:rPr>
        <w:t>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_Toc7578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"_Toc30536" </w:instrText>
      </w:r>
      <w:r>
        <w:fldChar w:fldCharType="separate"/>
      </w:r>
      <w:r>
        <w:rPr>
          <w:rFonts w:ascii="Times New Roman" w:hAnsi="Times New Roman" w:cs="Times New Roman"/>
        </w:rPr>
        <w:t xml:space="preserve">8.4 Transportation and Storage of </w:t>
      </w:r>
      <w:r>
        <w:rPr>
          <w:rFonts w:hint="eastAsia" w:ascii="Times New Roman" w:hAnsi="Times New Roman" w:cs="Times New Roman"/>
        </w:rPr>
        <w:t>Components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_Toc30536 \h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"_Toc3632" </w:instrText>
      </w:r>
      <w:r>
        <w:fldChar w:fldCharType="separate"/>
      </w:r>
      <w:r>
        <w:rPr>
          <w:rFonts w:ascii="Times New Roman" w:cs="Times New Roman"/>
        </w:rPr>
        <w:t>9 Construction and Erection</w:t>
      </w:r>
      <w:r>
        <w:rPr>
          <w:rFonts w:ascii="Times New Roman" w:cs="Times New Roman"/>
        </w:rPr>
        <w:tab/>
      </w:r>
      <w:r>
        <w:rPr>
          <w:rFonts w:ascii="Times New Roman" w:cs="Times New Roman"/>
        </w:rPr>
        <w:fldChar w:fldCharType="begin"/>
      </w:r>
      <w:r>
        <w:rPr>
          <w:rFonts w:ascii="Times New Roman" w:cs="Times New Roman"/>
        </w:rPr>
        <w:instrText xml:space="preserve"> PAGEREF _Toc3632 \h </w:instrText>
      </w:r>
      <w:r>
        <w:rPr>
          <w:rFonts w:ascii="Times New Roman" w:cs="Times New Roman"/>
        </w:rPr>
        <w:fldChar w:fldCharType="separate"/>
      </w:r>
      <w:r>
        <w:rPr>
          <w:rFonts w:ascii="Times New Roman" w:cs="Times New Roman"/>
        </w:rPr>
        <w:t>50</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"_Toc13005" </w:instrText>
      </w:r>
      <w:r>
        <w:fldChar w:fldCharType="separate"/>
      </w:r>
      <w:r>
        <w:rPr>
          <w:rFonts w:ascii="Times New Roman" w:hAnsi="Times New Roman" w:cs="Times New Roman"/>
        </w:rPr>
        <w:t>9.1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_Toc13005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"_Toc18791" </w:instrText>
      </w:r>
      <w:r>
        <w:fldChar w:fldCharType="separate"/>
      </w:r>
      <w:r>
        <w:rPr>
          <w:rFonts w:ascii="Times New Roman" w:hAnsi="Times New Roman" w:cs="Times New Roman"/>
        </w:rPr>
        <w:t>9.2 Preparation for Construction and Installation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_Toc18791 \h </w:instrText>
      </w:r>
      <w:r>
        <w:rPr>
          <w:rFonts w:ascii="Times New Roman" w:hAnsi="Times New Roman" w:cs="Times New Roman"/>
        </w:rPr>
        <w:fldChar w:fldCharType="separate"/>
      </w:r>
      <w:r>
        <w:rPr>
          <w:rFonts w:ascii="Times New Roman" w:hAnsi="Times New Roman" w:cs="Times New Roman"/>
        </w:rPr>
        <w:t>50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"_Toc30457" </w:instrText>
      </w:r>
      <w:r>
        <w:fldChar w:fldCharType="separate"/>
      </w:r>
      <w:r>
        <w:rPr>
          <w:rFonts w:ascii="Times New Roman" w:hAnsi="Times New Roman" w:cs="Times New Roman"/>
        </w:rPr>
        <w:t>9.3 Installation and Connection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_Toc30457 \h </w:instrText>
      </w:r>
      <w:r>
        <w:rPr>
          <w:rFonts w:ascii="Times New Roman" w:hAnsi="Times New Roman" w:cs="Times New Roman"/>
        </w:rPr>
        <w:fldChar w:fldCharType="separate"/>
      </w:r>
      <w:r>
        <w:rPr>
          <w:rFonts w:ascii="Times New Roman" w:hAnsi="Times New Roman" w:cs="Times New Roman"/>
        </w:rPr>
        <w:t>51</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"_Toc24082" </w:instrText>
      </w:r>
      <w:r>
        <w:fldChar w:fldCharType="separate"/>
      </w:r>
      <w:r>
        <w:rPr>
          <w:rFonts w:ascii="Times New Roman" w:hAnsi="Times New Roman" w:cs="Times New Roman"/>
        </w:rPr>
        <w:t xml:space="preserve">9.4 Concrete </w:t>
      </w:r>
      <w:r>
        <w:rPr>
          <w:rFonts w:hint="eastAsia" w:ascii="Times New Roman" w:hAnsi="Times New Roman" w:cs="Times New Roman"/>
        </w:rPr>
        <w:t>Casting</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_Toc24082 \h </w:instrText>
      </w:r>
      <w:r>
        <w:rPr>
          <w:rFonts w:ascii="Times New Roman" w:hAnsi="Times New Roman" w:cs="Times New Roman"/>
        </w:rPr>
        <w:fldChar w:fldCharType="separate"/>
      </w:r>
      <w:r>
        <w:rPr>
          <w:rFonts w:ascii="Times New Roman" w:hAnsi="Times New Roman" w:cs="Times New Roman"/>
        </w:rPr>
        <w:t>55</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"_Toc19850" </w:instrText>
      </w:r>
      <w:r>
        <w:fldChar w:fldCharType="separate"/>
      </w:r>
      <w:r>
        <w:rPr>
          <w:rFonts w:ascii="Times New Roman" w:cs="Times New Roman"/>
        </w:rPr>
        <w:t>10 Inspection and Acceptance</w:t>
      </w:r>
      <w:r>
        <w:rPr>
          <w:rFonts w:ascii="Times New Roman" w:cs="Times New Roman"/>
        </w:rPr>
        <w:tab/>
      </w:r>
      <w:r>
        <w:rPr>
          <w:rFonts w:ascii="Times New Roman" w:cs="Times New Roman"/>
        </w:rPr>
        <w:fldChar w:fldCharType="begin"/>
      </w:r>
      <w:r>
        <w:rPr>
          <w:rFonts w:ascii="Times New Roman" w:cs="Times New Roman"/>
        </w:rPr>
        <w:instrText xml:space="preserve"> PAGEREF _Toc19850 \h </w:instrText>
      </w:r>
      <w:r>
        <w:rPr>
          <w:rFonts w:ascii="Times New Roman" w:cs="Times New Roman"/>
        </w:rPr>
        <w:fldChar w:fldCharType="separate"/>
      </w:r>
      <w:r>
        <w:rPr>
          <w:rFonts w:ascii="Times New Roman" w:cs="Times New Roman"/>
        </w:rPr>
        <w:t>57</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"_Toc29771" </w:instrText>
      </w:r>
      <w:r>
        <w:fldChar w:fldCharType="separate"/>
      </w:r>
      <w:r>
        <w:rPr>
          <w:rFonts w:ascii="Times New Roman" w:hAnsi="Times New Roman" w:cs="Times New Roman"/>
        </w:rPr>
        <w:t>10.1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_Toc29771 \h </w:instrText>
      </w:r>
      <w:r>
        <w:rPr>
          <w:rFonts w:ascii="Times New Roman" w:hAnsi="Times New Roman" w:cs="Times New Roman"/>
        </w:rPr>
        <w:fldChar w:fldCharType="separate"/>
      </w:r>
      <w:r>
        <w:rPr>
          <w:rFonts w:ascii="Times New Roman" w:hAnsi="Times New Roman" w:cs="Times New Roman"/>
        </w:rPr>
        <w:t>57</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"_Toc13882" </w:instrText>
      </w:r>
      <w:r>
        <w:fldChar w:fldCharType="separate"/>
      </w:r>
      <w:r>
        <w:rPr>
          <w:rFonts w:ascii="Times New Roman" w:hAnsi="Times New Roman" w:cs="Times New Roman"/>
        </w:rPr>
        <w:t>10.2 Acceptance of Structure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_Toc13882 \h </w:instrText>
      </w:r>
      <w:r>
        <w:rPr>
          <w:rFonts w:ascii="Times New Roman" w:hAnsi="Times New Roman" w:cs="Times New Roman"/>
        </w:rPr>
        <w:fldChar w:fldCharType="separate"/>
      </w:r>
      <w:r>
        <w:rPr>
          <w:rFonts w:ascii="Times New Roman" w:hAnsi="Times New Roman" w:cs="Times New Roman"/>
        </w:rPr>
        <w:t>58</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"_Toc19654" </w:instrText>
      </w:r>
      <w:r>
        <w:fldChar w:fldCharType="separate"/>
      </w:r>
      <w:r>
        <w:rPr>
          <w:rFonts w:ascii="Times New Roman" w:hAnsi="Times New Roman" w:cs="Times New Roman"/>
        </w:rPr>
        <w:t>10.3 Acceptance of Building Envelope 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_Toc19654 \h </w:instrText>
      </w:r>
      <w:r>
        <w:rPr>
          <w:rFonts w:ascii="Times New Roman" w:hAnsi="Times New Roman" w:cs="Times New Roman"/>
        </w:rPr>
        <w:fldChar w:fldCharType="separate"/>
      </w:r>
      <w:r>
        <w:rPr>
          <w:rFonts w:ascii="Times New Roman" w:hAnsi="Times New Roman" w:cs="Times New Roman"/>
        </w:rPr>
        <w:t>60</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"_Toc14156" </w:instrText>
      </w:r>
      <w:r>
        <w:fldChar w:fldCharType="separate"/>
      </w:r>
      <w:r>
        <w:rPr>
          <w:rFonts w:ascii="Times New Roman" w:hAnsi="Times New Roman" w:cs="Times New Roman"/>
        </w:rPr>
        <w:t xml:space="preserve">10.4 Acceptance of </w:t>
      </w:r>
      <w:r>
        <w:rPr>
          <w:rFonts w:hint="eastAsia" w:ascii="Times New Roman" w:hAnsi="Times New Roman" w:cs="Times New Roman"/>
        </w:rPr>
        <w:t>Appliance</w:t>
      </w:r>
      <w:r>
        <w:rPr>
          <w:rFonts w:ascii="Times New Roman" w:hAnsi="Times New Roman" w:cs="Times New Roman"/>
        </w:rPr>
        <w:t>, Mechanical and Electrical System</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_Toc14156 \h </w:instrText>
      </w:r>
      <w:r>
        <w:rPr>
          <w:rFonts w:ascii="Times New Roman" w:hAnsi="Times New Roman" w:cs="Times New Roman"/>
        </w:rPr>
        <w:fldChar w:fldCharType="separate"/>
      </w:r>
      <w:r>
        <w:rPr>
          <w:rFonts w:ascii="Times New Roman" w:hAnsi="Times New Roman" w:cs="Times New Roman"/>
        </w:rPr>
        <w:t>62</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"_Toc25515" </w:instrText>
      </w:r>
      <w:r>
        <w:fldChar w:fldCharType="separate"/>
      </w:r>
      <w:r>
        <w:rPr>
          <w:rFonts w:ascii="Times New Roman" w:hAnsi="Times New Roman" w:cs="Times New Roman"/>
        </w:rPr>
        <w:t>10.5 Acceptance of Decoration</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_Toc25515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"_Toc30575" </w:instrText>
      </w:r>
      <w:r>
        <w:fldChar w:fldCharType="separate"/>
      </w:r>
      <w:r>
        <w:rPr>
          <w:rFonts w:ascii="Times New Roman" w:hAnsi="Times New Roman" w:cs="Times New Roman"/>
        </w:rPr>
        <w:t>10.6 Completion of Acceptance</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_Toc30575 \h </w:instrText>
      </w:r>
      <w:r>
        <w:rPr>
          <w:rFonts w:ascii="Times New Roman" w:hAnsi="Times New Roman" w:cs="Times New Roman"/>
        </w:rPr>
        <w:fldChar w:fldCharType="separate"/>
      </w:r>
      <w:r>
        <w:rPr>
          <w:rFonts w:ascii="Times New Roman" w:hAnsi="Times New Roman" w:cs="Times New Roman"/>
        </w:rPr>
        <w:t>63</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"_Toc7020" </w:instrText>
      </w:r>
      <w:r>
        <w:fldChar w:fldCharType="separate"/>
      </w:r>
      <w:r>
        <w:rPr>
          <w:rFonts w:ascii="Times New Roman" w:cs="Times New Roman"/>
        </w:rPr>
        <w:t>11 Operation and Maintenance</w:t>
      </w:r>
      <w:r>
        <w:rPr>
          <w:rFonts w:ascii="Times New Roman" w:cs="Times New Roman"/>
        </w:rPr>
        <w:tab/>
      </w:r>
      <w:r>
        <w:rPr>
          <w:rFonts w:ascii="Times New Roman" w:cs="Times New Roman"/>
        </w:rPr>
        <w:fldChar w:fldCharType="begin"/>
      </w:r>
      <w:r>
        <w:rPr>
          <w:rFonts w:ascii="Times New Roman" w:cs="Times New Roman"/>
        </w:rPr>
        <w:instrText xml:space="preserve"> PAGEREF _Toc7020 \h </w:instrText>
      </w:r>
      <w:r>
        <w:rPr>
          <w:rFonts w:ascii="Times New Roman" w:cs="Times New Roman"/>
        </w:rPr>
        <w:fldChar w:fldCharType="separate"/>
      </w:r>
      <w:r>
        <w:rPr>
          <w:rFonts w:ascii="Times New Roman" w:cs="Times New Roman"/>
        </w:rPr>
        <w:t>64</w:t>
      </w:r>
      <w:r>
        <w:rPr>
          <w:rFonts w:ascii="Times New Roman" w:cs="Times New Roman"/>
        </w:rPr>
        <w:fldChar w:fldCharType="end"/>
      </w:r>
      <w:r>
        <w:rPr>
          <w:rFonts w:asci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"_Toc21447" </w:instrText>
      </w:r>
      <w:r>
        <w:fldChar w:fldCharType="separate"/>
      </w:r>
      <w:r>
        <w:rPr>
          <w:rFonts w:ascii="Times New Roman" w:hAnsi="Times New Roman" w:cs="Times New Roman"/>
        </w:rPr>
        <w:t>11.1 General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_Toc21447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"_Toc14135" </w:instrText>
      </w:r>
      <w:r>
        <w:fldChar w:fldCharType="separate"/>
      </w:r>
      <w:r>
        <w:rPr>
          <w:rFonts w:ascii="Times New Roman" w:hAnsi="Times New Roman" w:cs="Times New Roman"/>
        </w:rPr>
        <w:t>11.2 Operation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_Toc14135 \h </w:instrText>
      </w:r>
      <w:r>
        <w:rPr>
          <w:rFonts w:ascii="Times New Roman" w:hAnsi="Times New Roman" w:cs="Times New Roman"/>
        </w:rPr>
        <w:fldChar w:fldCharType="separate"/>
      </w:r>
      <w:r>
        <w:rPr>
          <w:rFonts w:ascii="Times New Roman" w:hAnsi="Times New Roman" w:cs="Times New Roman"/>
        </w:rPr>
        <w:t>64</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"_Toc15123" </w:instrText>
      </w:r>
      <w:r>
        <w:fldChar w:fldCharType="separate"/>
      </w:r>
      <w:r>
        <w:rPr>
          <w:rFonts w:ascii="Times New Roman" w:hAnsi="Times New Roman" w:cs="Times New Roman"/>
        </w:rPr>
        <w:t>11.3 Maintenance Requirements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_Toc15123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36"/>
        <w:tabs>
          <w:tab w:val="right" w:leader="dot" w:pos="8306"/>
          <w:tab w:val="clear" w:pos="9242"/>
        </w:tabs>
        <w:ind w:firstLine="630" w:firstLineChars="300"/>
        <w:rPr>
          <w:rFonts w:ascii="Times New Roman" w:hAnsi="Times New Roman" w:cs="Times New Roman"/>
        </w:rPr>
      </w:pPr>
      <w:r>
        <w:fldChar w:fldCharType="begin"/>
      </w:r>
      <w:r>
        <w:instrText xml:space="preserve"> HYPERLINK \l "_Toc27114" </w:instrText>
      </w:r>
      <w:r>
        <w:fldChar w:fldCharType="separate"/>
      </w:r>
      <w:r>
        <w:rPr>
          <w:rFonts w:ascii="Times New Roman" w:hAnsi="Times New Roman" w:cs="Times New Roman"/>
        </w:rPr>
        <w:t>11.4 Property Services</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_Toc27114 \h </w:instrText>
      </w:r>
      <w:r>
        <w:rPr>
          <w:rFonts w:ascii="Times New Roman" w:hAnsi="Times New Roman" w:cs="Times New Roman"/>
        </w:rPr>
        <w:fldChar w:fldCharType="separate"/>
      </w:r>
      <w:r>
        <w:rPr>
          <w:rFonts w:ascii="Times New Roman" w:hAnsi="Times New Roman" w:cs="Times New Roman"/>
        </w:rPr>
        <w:t>65</w:t>
      </w:r>
      <w:r>
        <w:rPr>
          <w:rFonts w:ascii="Times New Roman" w:hAnsi="Times New Roman" w:cs="Times New Roman"/>
        </w:rPr>
        <w:fldChar w:fldCharType="end"/>
      </w:r>
      <w:r>
        <w:rPr>
          <w:rFonts w:ascii="Times New Roman" w:hAns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"_Toc8020" </w:instrText>
      </w:r>
      <w:r>
        <w:fldChar w:fldCharType="separate"/>
      </w:r>
      <w:r>
        <w:rPr>
          <w:rFonts w:ascii="Times New Roman" w:cs="Times New Roman"/>
        </w:rPr>
        <w:t>Explanation of Wording in This Standard</w:t>
      </w:r>
      <w:r>
        <w:rPr>
          <w:rFonts w:ascii="Times New Roman" w:cs="Times New Roman"/>
        </w:rPr>
        <w:tab/>
      </w:r>
      <w:r>
        <w:rPr>
          <w:rFonts w:ascii="Times New Roman" w:cs="Times New Roman"/>
        </w:rPr>
        <w:fldChar w:fldCharType="begin"/>
      </w:r>
      <w:r>
        <w:rPr>
          <w:rFonts w:ascii="Times New Roman" w:cs="Times New Roman"/>
        </w:rPr>
        <w:instrText xml:space="preserve"> PAGEREF _Toc8020 \h </w:instrText>
      </w:r>
      <w:r>
        <w:rPr>
          <w:rFonts w:ascii="Times New Roman" w:cs="Times New Roman"/>
        </w:rPr>
        <w:fldChar w:fldCharType="separate"/>
      </w:r>
      <w:r>
        <w:rPr>
          <w:rFonts w:ascii="Times New Roman" w:cs="Times New Roman"/>
        </w:rPr>
        <w:t>67</w:t>
      </w:r>
      <w:r>
        <w:rPr>
          <w:rFonts w:ascii="Times New Roman" w:cs="Times New Roman"/>
        </w:rPr>
        <w:fldChar w:fldCharType="end"/>
      </w:r>
      <w:r>
        <w:rPr>
          <w:rFonts w:ascii="Times New Roman" w:cs="Times New Roman"/>
        </w:rPr>
        <w:fldChar w:fldCharType="end"/>
      </w:r>
    </w:p>
    <w:p>
      <w:pPr>
        <w:pStyle w:val="27"/>
        <w:tabs>
          <w:tab w:val="right" w:leader="dot" w:pos="8306"/>
          <w:tab w:val="clear" w:pos="9242"/>
        </w:tabs>
        <w:spacing w:before="78" w:after="78"/>
        <w:rPr>
          <w:rFonts w:ascii="Times New Roman" w:cs="Times New Roman"/>
        </w:rPr>
      </w:pPr>
      <w:r>
        <w:fldChar w:fldCharType="begin"/>
      </w:r>
      <w:r>
        <w:instrText xml:space="preserve"> HYPERLINK \l "_Toc9654" </w:instrText>
      </w:r>
      <w:r>
        <w:fldChar w:fldCharType="separate"/>
      </w:r>
      <w:r>
        <w:rPr>
          <w:rFonts w:ascii="Times New Roman" w:cs="Times New Roman"/>
        </w:rPr>
        <w:t>List of Quoted Standards</w:t>
      </w:r>
      <w:r>
        <w:rPr>
          <w:rFonts w:ascii="Times New Roman" w:cs="Times New Roman"/>
        </w:rPr>
        <w:tab/>
      </w:r>
      <w:r>
        <w:rPr>
          <w:rFonts w:ascii="Times New Roman" w:cs="Times New Roman"/>
        </w:rPr>
        <w:fldChar w:fldCharType="begin"/>
      </w:r>
      <w:r>
        <w:rPr>
          <w:rFonts w:ascii="Times New Roman" w:cs="Times New Roman"/>
        </w:rPr>
        <w:instrText xml:space="preserve"> PAGEREF _Toc9654 \h </w:instrText>
      </w:r>
      <w:r>
        <w:rPr>
          <w:rFonts w:ascii="Times New Roman" w:cs="Times New Roman"/>
        </w:rPr>
        <w:fldChar w:fldCharType="separate"/>
      </w:r>
      <w:r>
        <w:rPr>
          <w:rFonts w:ascii="Times New Roman" w:cs="Times New Roman"/>
        </w:rPr>
        <w:t>68</w:t>
      </w:r>
      <w:r>
        <w:rPr>
          <w:rFonts w:ascii="Times New Roman" w:cs="Times New Roman"/>
        </w:rPr>
        <w:fldChar w:fldCharType="end"/>
      </w:r>
      <w:r>
        <w:rPr>
          <w:rFonts w:ascii="Times New Roman" w:cs="Times New Roman"/>
        </w:rPr>
        <w:fldChar w:fldCharType="end"/>
      </w:r>
    </w:p>
    <w:p>
      <w:pPr>
        <w:ind w:firstLine="0" w:firstLineChars="0"/>
      </w:pPr>
      <w:r>
        <w:fldChar w:fldCharType="end"/>
      </w:r>
    </w:p>
    <w:p>
      <w:pPr>
        <w:ind w:firstLine="0" w:firstLineChars="0"/>
        <w:sectPr>
          <w:footerReference r:id="rId14" w:type="default"/>
          <w:pgSz w:w="11906" w:h="16838"/>
          <w:pgMar w:top="1474" w:right="1474" w:bottom="1474" w:left="1588" w:header="1418" w:footer="1134" w:gutter="0"/>
          <w:pgNumType w:start="1"/>
          <w:cols w:space="425" w:num="1"/>
          <w:formProt w:val="0"/>
          <w:docGrid w:type="lines" w:linePitch="312" w:charSpace="0"/>
        </w:sectPr>
      </w:pPr>
    </w:p>
    <w:p>
      <w:pPr>
        <w:pStyle w:val="2"/>
        <w:spacing w:before="156" w:after="156"/>
        <w:ind w:firstLineChars="0"/>
        <w:rPr>
          <w:rFonts w:hAnsi="Calibri" w:cs="Calibri" w:asciiTheme="minorHAnsi" w:eastAsiaTheme="majorEastAsia"/>
        </w:rPr>
      </w:pPr>
      <w:r>
        <w:rPr>
          <w:rFonts w:hAnsi="Calibri" w:cs="Calibri" w:asciiTheme="minorHAnsi" w:eastAsiaTheme="majorEastAsia"/>
        </w:rPr>
        <w:t>总  则</w:t>
      </w:r>
      <w:bookmarkEnd w:id="1"/>
      <w:bookmarkEnd w:id="2"/>
      <w:bookmarkEnd w:id="3"/>
    </w:p>
    <w:p>
      <w:pPr>
        <w:ind w:firstLine="0" w:firstLineChars="0"/>
        <w:rPr>
          <w:rFonts w:hAnsi="Calibri" w:cs="Calibri" w:asciiTheme="minorHAnsi"/>
          <w:bCs/>
        </w:rPr>
      </w:pPr>
      <w:r>
        <w:rPr>
          <w:b/>
          <w:bCs/>
        </w:rPr>
        <w:t>1.0.1</w:t>
      </w:r>
      <w:r>
        <w:rPr>
          <w:rFonts w:hAnsi="Calibri" w:cs="Calibri" w:asciiTheme="minorHAnsi"/>
          <w:bCs/>
        </w:rPr>
        <w:t>为推动重庆市装配式钢结构建筑的建设，规范装配式开孔钢板组合剪力墙结构住宅建筑全寿命周期的设计、部品部件生产、施工安装、质量验收、使用维护等，按照安全、适用、经济、绿色、美观的要求，做到技术先进、安全适用、经济合理、质量可靠、绿色环保，全面提高装配式钢结构住宅建筑的环境效益、社会效益和经济效益，制定本标准。</w:t>
      </w:r>
    </w:p>
    <w:p>
      <w:pPr>
        <w:pStyle w:val="74"/>
        <w:ind w:firstLine="400"/>
      </w:pPr>
      <w:r>
        <w:t>【条文说明】规定了本技术标准的编制目的。</w:t>
      </w:r>
    </w:p>
    <w:p>
      <w:pPr>
        <w:ind w:firstLine="0" w:firstLineChars="0"/>
        <w:rPr>
          <w:rFonts w:hAnsi="Calibri" w:cs="Calibri" w:asciiTheme="minorHAnsi"/>
          <w:bCs/>
        </w:rPr>
      </w:pPr>
      <w:r>
        <w:rPr>
          <w:b/>
          <w:bCs/>
        </w:rPr>
        <w:t>1.0.2</w:t>
      </w:r>
      <w:r>
        <w:rPr>
          <w:rFonts w:hAnsi="Calibri" w:cs="Calibri" w:asciiTheme="minorHAnsi"/>
          <w:bCs/>
        </w:rPr>
        <w:t>本标准适用于主体结构采用装配式开孔钢板组合剪力墙结构的新建、改建和扩建的多高层住宅建筑。</w:t>
      </w:r>
    </w:p>
    <w:p>
      <w:pPr>
        <w:pStyle w:val="74"/>
        <w:ind w:firstLine="400"/>
      </w:pPr>
      <w:r>
        <w:t>【条文说明】规定了本技术标准的适用范围。</w:t>
      </w:r>
    </w:p>
    <w:p>
      <w:pPr>
        <w:pStyle w:val="74"/>
        <w:ind w:firstLine="400"/>
      </w:pPr>
      <w:r>
        <w:t>本标准多高层住宅按层数划分如下：</w:t>
      </w:r>
    </w:p>
    <w:p>
      <w:pPr>
        <w:pStyle w:val="74"/>
        <w:ind w:firstLine="400"/>
      </w:pPr>
      <w:r>
        <w:t>多层住宅：4~6层。</w:t>
      </w:r>
    </w:p>
    <w:p>
      <w:pPr>
        <w:pStyle w:val="74"/>
        <w:ind w:firstLine="400"/>
      </w:pPr>
      <w:r>
        <w:t>中高层住宅：7~9层。</w:t>
      </w:r>
    </w:p>
    <w:p>
      <w:pPr>
        <w:pStyle w:val="74"/>
        <w:ind w:firstLine="400"/>
      </w:pPr>
      <w:r>
        <w:t>高层住宅：10层以上。</w:t>
      </w:r>
    </w:p>
    <w:p>
      <w:pPr>
        <w:ind w:firstLine="0" w:firstLineChars="0"/>
        <w:rPr>
          <w:rFonts w:hAnsi="Calibri" w:cs="Calibri" w:asciiTheme="minorHAnsi"/>
          <w:bCs/>
        </w:rPr>
      </w:pPr>
      <w:r>
        <w:rPr>
          <w:b/>
          <w:bCs/>
        </w:rPr>
        <w:t>1.0.3</w:t>
      </w:r>
      <w:r>
        <w:rPr>
          <w:rFonts w:hAnsi="Calibri" w:cs="Calibri" w:asciiTheme="minorHAnsi"/>
          <w:bCs/>
        </w:rPr>
        <w:t>装配式开孔钢板组合剪力墙结构住宅的设计、加工制作、施工安装、质量验收、使用和维护除应符合本标准规定外，尚应符合国家、重庆市现行有关标准的规定。</w:t>
      </w:r>
    </w:p>
    <w:p>
      <w:pPr>
        <w:pStyle w:val="74"/>
        <w:ind w:firstLine="400"/>
      </w:pPr>
      <w:r>
        <w:t>【条文说明】规定了本技术标准与现行国家</w:t>
      </w:r>
      <w:r>
        <w:rPr>
          <w:rFonts w:hint="eastAsia"/>
        </w:rPr>
        <w:t>及</w:t>
      </w:r>
      <w:r>
        <w:t>重庆市相关标准的关系。</w:t>
      </w:r>
    </w:p>
    <w:p>
      <w:pPr>
        <w:widowControl/>
        <w:spacing w:line="240" w:lineRule="auto"/>
        <w:rPr>
          <w:rFonts w:hAnsi="Calibri" w:cs="Calibri" w:asciiTheme="minorHAnsi"/>
          <w:b/>
          <w:bCs/>
          <w:kern w:val="44"/>
          <w:sz w:val="32"/>
          <w:szCs w:val="44"/>
        </w:rPr>
      </w:pPr>
      <w:r>
        <w:rPr>
          <w:rFonts w:hAnsi="Calibri" w:cs="Calibri" w:asciiTheme="minorHAnsi"/>
        </w:rPr>
        <w:br w:type="page"/>
      </w:r>
    </w:p>
    <w:p>
      <w:pPr>
        <w:pStyle w:val="2"/>
        <w:spacing w:before="156" w:after="156"/>
        <w:ind w:firstLine="643"/>
        <w:rPr>
          <w:rFonts w:hAnsi="Calibri" w:cs="Calibri" w:asciiTheme="minorHAnsi"/>
        </w:rPr>
      </w:pPr>
      <w:bookmarkStart w:id="4" w:name="_Toc36207140"/>
      <w:bookmarkStart w:id="5" w:name="_Toc4542"/>
      <w:r>
        <w:rPr>
          <w:rFonts w:hAnsi="Calibri" w:cs="Calibri" w:asciiTheme="minorHAnsi"/>
        </w:rPr>
        <w:t>术语和符号</w:t>
      </w:r>
      <w:bookmarkEnd w:id="4"/>
      <w:bookmarkEnd w:id="5"/>
    </w:p>
    <w:p>
      <w:pPr>
        <w:pStyle w:val="3"/>
        <w:ind w:firstLine="482"/>
        <w:rPr>
          <w:rFonts w:hAnsi="Calibri" w:cs="Calibri" w:asciiTheme="minorHAnsi"/>
        </w:rPr>
      </w:pPr>
      <w:bookmarkStart w:id="6" w:name="_Toc36207141"/>
      <w:bookmarkStart w:id="7" w:name="_Toc13476"/>
      <w:r>
        <w:rPr>
          <w:rFonts w:hAnsi="Calibri" w:cs="Calibri" w:asciiTheme="minorHAnsi"/>
        </w:rPr>
        <w:t>术语</w:t>
      </w:r>
      <w:bookmarkEnd w:id="6"/>
      <w:bookmarkEnd w:id="7"/>
    </w:p>
    <w:p>
      <w:pPr>
        <w:pStyle w:val="4"/>
        <w:ind w:left="0"/>
      </w:pPr>
      <w:r>
        <w:rPr>
          <w:rFonts w:hAnsi="Calibri" w:cs="Calibri" w:asciiTheme="minorHAnsi"/>
        </w:rPr>
        <w:t>装配式开孔钢板组合剪力墙住宅</w:t>
      </w:r>
      <w:r>
        <w:t>assembled residential building with compositetrepanning steel plate</w:t>
      </w:r>
      <w:r>
        <w:rPr>
          <w:rFonts w:hint="eastAsia"/>
        </w:rPr>
        <w:t>s</w:t>
      </w:r>
      <w:r>
        <w:t xml:space="preserve"> and concrete shear walls</w:t>
      </w:r>
    </w:p>
    <w:p>
      <w:pPr>
        <w:rPr>
          <w:rFonts w:hAnsi="Calibri" w:cs="Calibri" w:asciiTheme="minorHAnsi"/>
        </w:rPr>
      </w:pPr>
      <w:r>
        <w:rPr>
          <w:rFonts w:hAnsi="Calibri" w:cs="Calibri" w:asciiTheme="minorHAnsi"/>
        </w:rPr>
        <w:t>结构系统、外围护系统、设备与管线系统、内装系统的主要部分采用预制部品部件集成，主要承重结构为开孔钢板组合剪力墙的装配式住宅建筑。</w:t>
      </w:r>
    </w:p>
    <w:p>
      <w:pPr>
        <w:pStyle w:val="4"/>
        <w:ind w:left="0"/>
        <w:rPr>
          <w:rFonts w:hAnsi="Calibri" w:cs="Calibri" w:asciiTheme="minorHAnsi"/>
        </w:rPr>
      </w:pPr>
      <w:r>
        <w:rPr>
          <w:rFonts w:hAnsi="Calibri" w:cs="Calibri" w:asciiTheme="minorHAnsi"/>
        </w:rPr>
        <w:t xml:space="preserve">开孔钢板组合剪力墙 </w:t>
      </w:r>
      <w:r>
        <w:t>compositetrepanning steel plate</w:t>
      </w:r>
      <w:r>
        <w:rPr>
          <w:rFonts w:hint="eastAsia"/>
        </w:rPr>
        <w:t>s</w:t>
      </w:r>
      <w:r>
        <w:t xml:space="preserve"> and concrete shear walls</w:t>
      </w:r>
    </w:p>
    <w:p>
      <w:pPr>
        <w:rPr>
          <w:rFonts w:hAnsi="Calibri" w:cs="Calibri" w:asciiTheme="minorHAnsi"/>
        </w:rPr>
      </w:pPr>
      <w:r>
        <w:rPr>
          <w:rFonts w:hAnsi="Calibri" w:cs="Calibri" w:asciiTheme="minorHAnsi"/>
        </w:rPr>
        <w:t>双钢板上矩阵开孔并通过标准连接件焊接形成空腔，空腔内现浇混凝土组成的组合结构剪力墙构件。</w:t>
      </w:r>
    </w:p>
    <w:p>
      <w:pPr>
        <w:pStyle w:val="4"/>
        <w:ind w:left="0"/>
        <w:rPr>
          <w:rFonts w:hAnsi="Calibri" w:cs="Calibri" w:asciiTheme="minorHAnsi"/>
        </w:rPr>
      </w:pPr>
      <w:r>
        <w:rPr>
          <w:rFonts w:hAnsi="Calibri" w:cs="Calibri" w:asciiTheme="minorHAnsi"/>
        </w:rPr>
        <w:t>集成设计</w:t>
      </w:r>
      <w:r>
        <w:t>integrat</w:t>
      </w:r>
      <w:r>
        <w:rPr>
          <w:rFonts w:hint="eastAsia"/>
        </w:rPr>
        <w:t>ed</w:t>
      </w:r>
      <w:r>
        <w:t xml:space="preserve"> design</w:t>
      </w:r>
    </w:p>
    <w:p>
      <w:pPr>
        <w:ind w:firstLine="424" w:firstLineChars="202"/>
        <w:rPr>
          <w:rFonts w:hAnsi="Calibri" w:cs="Calibri" w:asciiTheme="minorHAnsi"/>
        </w:rPr>
      </w:pPr>
      <w:r>
        <w:rPr>
          <w:rFonts w:hAnsi="Calibri" w:cs="Calibri" w:asciiTheme="minorHAnsi"/>
        </w:rPr>
        <w:t>建筑结构系统、外围护系统、设备与管线系统、内装系统一体化的设计。</w:t>
      </w:r>
    </w:p>
    <w:p>
      <w:pPr>
        <w:pStyle w:val="4"/>
        <w:ind w:left="0"/>
        <w:rPr>
          <w:rFonts w:hAnsi="Calibri" w:cs="Calibri" w:asciiTheme="minorHAnsi"/>
        </w:rPr>
      </w:pPr>
      <w:r>
        <w:rPr>
          <w:rFonts w:hAnsi="Calibri" w:cs="Calibri" w:asciiTheme="minorHAnsi"/>
        </w:rPr>
        <w:t>协同设计</w:t>
      </w:r>
      <w:r>
        <w:t>collaborativedesign</w:t>
      </w:r>
    </w:p>
    <w:p>
      <w:pPr>
        <w:ind w:firstLine="424" w:firstLineChars="202"/>
        <w:rPr>
          <w:rFonts w:hAnsi="Calibri" w:cs="Calibri" w:asciiTheme="minorHAnsi"/>
        </w:rPr>
      </w:pPr>
      <w:r>
        <w:rPr>
          <w:rFonts w:hAnsi="Calibri" w:cs="Calibri" w:asciiTheme="minorHAnsi"/>
        </w:rPr>
        <w:t>装配式建筑设计中通过建筑、结构、设备、装修等专业相互配合、协调运用信息化技术手段满足建筑设计、生产运输、施工安装等要求的一体化设计。</w:t>
      </w:r>
    </w:p>
    <w:p>
      <w:pPr>
        <w:pStyle w:val="4"/>
        <w:ind w:left="0"/>
      </w:pPr>
      <w:r>
        <w:rPr>
          <w:rFonts w:hAnsi="Calibri" w:cs="Calibri" w:asciiTheme="minorHAnsi"/>
        </w:rPr>
        <w:t>建筑信息化模型</w:t>
      </w:r>
      <w:r>
        <w:t>（BIM）building information modeling</w:t>
      </w:r>
    </w:p>
    <w:p>
      <w:pPr>
        <w:ind w:firstLine="424" w:firstLineChars="202"/>
        <w:rPr>
          <w:rFonts w:hAnsi="Calibri" w:cs="Calibri" w:asciiTheme="minorHAnsi"/>
        </w:rPr>
      </w:pPr>
      <w:r>
        <w:rPr>
          <w:rFonts w:hAnsi="Calibri" w:cs="Calibri" w:asciiTheme="minorHAnsi"/>
        </w:rPr>
        <w:t>在建设工程及设施全生命期内，对其物理和功能特性进行数字化表达，并依此设计、施工、运营的过程和结果的总称。</w:t>
      </w:r>
    </w:p>
    <w:p>
      <w:pPr>
        <w:pStyle w:val="4"/>
        <w:ind w:left="0"/>
        <w:rPr>
          <w:rFonts w:hAnsi="Calibri" w:cs="Calibri" w:asciiTheme="minorHAnsi"/>
        </w:rPr>
      </w:pPr>
      <w:r>
        <w:rPr>
          <w:rFonts w:hAnsi="Calibri" w:cs="Calibri" w:asciiTheme="minorHAnsi"/>
        </w:rPr>
        <w:t>结构系统</w:t>
      </w:r>
      <w:r>
        <w:t>structur</w:t>
      </w:r>
      <w:r>
        <w:rPr>
          <w:rFonts w:hint="eastAsia"/>
        </w:rPr>
        <w:t xml:space="preserve">al </w:t>
      </w:r>
      <w:r>
        <w:t>system</w:t>
      </w:r>
    </w:p>
    <w:p>
      <w:pPr>
        <w:ind w:firstLine="424" w:firstLineChars="202"/>
        <w:rPr>
          <w:rFonts w:hAnsi="Calibri" w:cs="Calibri" w:asciiTheme="minorHAnsi"/>
        </w:rPr>
      </w:pPr>
      <w:r>
        <w:rPr>
          <w:rFonts w:hAnsi="Calibri" w:cs="Calibri" w:asciiTheme="minorHAnsi"/>
        </w:rPr>
        <w:t>由结构构件通过可靠的连接方式装配而成，以承受或传递荷载作用的整体。</w:t>
      </w:r>
    </w:p>
    <w:p>
      <w:pPr>
        <w:pStyle w:val="4"/>
        <w:ind w:left="0"/>
        <w:rPr>
          <w:rFonts w:hAnsi="Calibri" w:cs="Calibri" w:asciiTheme="minorHAnsi"/>
        </w:rPr>
      </w:pPr>
      <w:r>
        <w:rPr>
          <w:rFonts w:hAnsi="Calibri" w:cs="Calibri" w:asciiTheme="minorHAnsi"/>
        </w:rPr>
        <w:t>外围护系统</w:t>
      </w:r>
      <w:r>
        <w:t>building envelope system</w:t>
      </w:r>
    </w:p>
    <w:p>
      <w:pPr>
        <w:ind w:firstLine="424" w:firstLineChars="202"/>
        <w:rPr>
          <w:rFonts w:hAnsi="Calibri" w:cs="Calibri" w:asciiTheme="minorHAnsi"/>
        </w:rPr>
      </w:pPr>
      <w:r>
        <w:rPr>
          <w:rFonts w:hAnsi="Calibri" w:cs="Calibri" w:asciiTheme="minorHAnsi"/>
        </w:rPr>
        <w:t>由建筑外墙、屋面、外门窗及其他部品部件等组合而成，用于分隔建筑室内外环境的部品部件的整体。</w:t>
      </w:r>
    </w:p>
    <w:p>
      <w:pPr>
        <w:pStyle w:val="4"/>
        <w:ind w:left="0"/>
      </w:pPr>
      <w:r>
        <w:rPr>
          <w:rFonts w:hAnsi="Calibri" w:cs="Calibri" w:asciiTheme="minorHAnsi"/>
        </w:rPr>
        <w:t>设备与管线系统</w:t>
      </w:r>
      <w:r>
        <w:rPr>
          <w:rFonts w:hint="eastAsia"/>
        </w:rPr>
        <w:t>appliance</w:t>
      </w:r>
      <w:r>
        <w:t xml:space="preserve"> and pipeline system</w:t>
      </w:r>
    </w:p>
    <w:p>
      <w:pPr>
        <w:ind w:firstLine="424" w:firstLineChars="202"/>
        <w:rPr>
          <w:rFonts w:hAnsi="Calibri" w:cs="Calibri" w:asciiTheme="minorHAnsi"/>
          <w:bCs/>
          <w:szCs w:val="32"/>
        </w:rPr>
      </w:pPr>
      <w:r>
        <w:rPr>
          <w:rFonts w:hAnsi="Calibri" w:cs="Calibri" w:asciiTheme="minorHAnsi"/>
          <w:bCs/>
          <w:szCs w:val="32"/>
        </w:rPr>
        <w:t>由给水排水、供暖通风空调、电气和智能化、燃气等设备与管线组合而成，满足建筑使用功能的整体。</w:t>
      </w:r>
    </w:p>
    <w:p>
      <w:pPr>
        <w:pStyle w:val="4"/>
        <w:ind w:left="0" w:hanging="1"/>
        <w:rPr>
          <w:rFonts w:hAnsi="Calibri" w:cs="Calibri" w:asciiTheme="minorHAnsi"/>
        </w:rPr>
      </w:pPr>
      <w:r>
        <w:rPr>
          <w:rFonts w:hAnsi="Calibri" w:cs="Calibri" w:asciiTheme="minorHAnsi"/>
        </w:rPr>
        <w:t>内装系统</w:t>
      </w:r>
      <w:r>
        <w:t>interior decoration system</w:t>
      </w:r>
    </w:p>
    <w:p>
      <w:pPr>
        <w:ind w:firstLine="424" w:firstLineChars="202"/>
        <w:rPr>
          <w:rFonts w:hAnsi="Calibri" w:cs="Calibri" w:asciiTheme="minorHAnsi"/>
        </w:rPr>
      </w:pPr>
      <w:r>
        <w:rPr>
          <w:rFonts w:hAnsi="Calibri" w:cs="Calibri" w:asciiTheme="minorHAnsi"/>
        </w:rPr>
        <w:t>由楼地面、墙面、轻质隔墙、吊顶、内门窗、厨房和卫生间等组合而成，满足建筑空间使用要求的整体。</w:t>
      </w:r>
    </w:p>
    <w:p>
      <w:pPr>
        <w:pStyle w:val="4"/>
        <w:ind w:left="0"/>
      </w:pPr>
      <w:r>
        <w:rPr>
          <w:rFonts w:hAnsi="Calibri" w:cs="Calibri" w:asciiTheme="minorHAnsi"/>
        </w:rPr>
        <w:t>部品</w:t>
      </w:r>
      <w:r>
        <w:t>part</w:t>
      </w:r>
    </w:p>
    <w:p>
      <w:pPr>
        <w:ind w:firstLine="424" w:firstLineChars="202"/>
        <w:rPr>
          <w:rFonts w:hAnsi="Calibri" w:cs="Calibri" w:asciiTheme="minorHAnsi"/>
        </w:rPr>
      </w:pPr>
      <w:r>
        <w:rPr>
          <w:bCs/>
          <w:szCs w:val="32"/>
        </w:rPr>
        <w:t>由工厂生</w:t>
      </w:r>
      <w:r>
        <w:rPr>
          <w:rFonts w:hAnsi="Calibri" w:cs="Calibri" w:asciiTheme="minorHAnsi"/>
        </w:rPr>
        <w:t>产，构成外围护系统、设备与管线系统、内装系统的建筑单一产品或复合产品组装而成的功能单元的统称。</w:t>
      </w:r>
    </w:p>
    <w:p>
      <w:pPr>
        <w:pStyle w:val="4"/>
        <w:ind w:left="0"/>
        <w:rPr>
          <w:rFonts w:hAnsi="Calibri" w:cs="Calibri" w:asciiTheme="minorHAnsi"/>
        </w:rPr>
      </w:pPr>
      <w:r>
        <w:rPr>
          <w:rFonts w:hAnsi="Calibri" w:cs="Calibri" w:asciiTheme="minorHAnsi"/>
        </w:rPr>
        <w:t>部件</w:t>
      </w:r>
      <w:r>
        <w:t>component</w:t>
      </w:r>
    </w:p>
    <w:p>
      <w:pPr>
        <w:ind w:firstLine="424" w:firstLineChars="202"/>
        <w:rPr>
          <w:rFonts w:hAnsi="Calibri" w:cs="Calibri" w:asciiTheme="minorHAnsi"/>
        </w:rPr>
      </w:pPr>
      <w:r>
        <w:rPr>
          <w:rFonts w:hAnsi="Calibri" w:cs="Calibri" w:asciiTheme="minorHAnsi"/>
        </w:rPr>
        <w:t>在工厂或现场预先生产制作完成，构成建筑结构系统的结构构件及其他构件的统称。</w:t>
      </w:r>
    </w:p>
    <w:p>
      <w:pPr>
        <w:pStyle w:val="4"/>
        <w:ind w:left="0"/>
        <w:rPr>
          <w:rFonts w:hAnsi="Calibri" w:cs="Calibri" w:asciiTheme="minorHAnsi"/>
        </w:rPr>
      </w:pPr>
      <w:r>
        <w:rPr>
          <w:rFonts w:hAnsi="Calibri" w:cs="Calibri" w:asciiTheme="minorHAnsi"/>
        </w:rPr>
        <w:t>干式工法</w:t>
      </w:r>
      <w:r>
        <w:rPr>
          <w:rFonts w:hint="eastAsia"/>
        </w:rPr>
        <w:t>waterless</w:t>
      </w:r>
      <w:r>
        <w:t xml:space="preserve"> construction</w:t>
      </w:r>
    </w:p>
    <w:p>
      <w:pPr>
        <w:ind w:firstLine="424" w:firstLineChars="202"/>
        <w:rPr>
          <w:rFonts w:hAnsi="Calibri" w:cs="Calibri" w:asciiTheme="minorHAnsi"/>
        </w:rPr>
      </w:pPr>
      <w:r>
        <w:rPr>
          <w:rFonts w:hAnsi="Calibri" w:cs="Calibri" w:asciiTheme="minorHAnsi"/>
        </w:rPr>
        <w:t>采用干作业施工工艺的建造方法。</w:t>
      </w:r>
    </w:p>
    <w:p>
      <w:pPr>
        <w:pStyle w:val="4"/>
        <w:ind w:left="0"/>
        <w:rPr>
          <w:rFonts w:hAnsi="Calibri" w:cs="Calibri" w:asciiTheme="minorHAnsi"/>
        </w:rPr>
      </w:pPr>
      <w:r>
        <w:rPr>
          <w:rFonts w:hAnsi="Calibri" w:cs="Calibri" w:asciiTheme="minorHAnsi"/>
        </w:rPr>
        <w:t>模数</w:t>
      </w:r>
      <w:r>
        <w:t>modul</w:t>
      </w:r>
      <w:r>
        <w:rPr>
          <w:rFonts w:hint="eastAsia"/>
        </w:rPr>
        <w:t>ar number</w:t>
      </w:r>
    </w:p>
    <w:p>
      <w:pPr>
        <w:ind w:firstLine="424" w:firstLineChars="202"/>
        <w:rPr>
          <w:rFonts w:hAnsi="Calibri" w:cs="Calibri" w:asciiTheme="minorHAnsi"/>
        </w:rPr>
      </w:pPr>
      <w:r>
        <w:rPr>
          <w:rFonts w:hAnsi="Calibri" w:cs="Calibri" w:asciiTheme="minorHAnsi"/>
        </w:rPr>
        <w:t>选定的尺寸单位，作为尺度协调基础上的增值单位。</w:t>
      </w:r>
    </w:p>
    <w:p>
      <w:pPr>
        <w:pStyle w:val="4"/>
        <w:ind w:left="0"/>
        <w:rPr>
          <w:rFonts w:hAnsi="Calibri" w:cs="Calibri" w:asciiTheme="minorHAnsi"/>
        </w:rPr>
      </w:pPr>
      <w:r>
        <w:rPr>
          <w:rFonts w:hint="eastAsia" w:hAnsi="Calibri" w:cs="Calibri" w:asciiTheme="minorHAnsi"/>
        </w:rPr>
        <w:t>标准</w:t>
      </w:r>
      <w:r>
        <w:rPr>
          <w:rFonts w:hAnsi="Calibri" w:cs="Calibri" w:asciiTheme="minorHAnsi"/>
        </w:rPr>
        <w:t xml:space="preserve">连接件 </w:t>
      </w:r>
      <w:r>
        <w:t>standard connector</w:t>
      </w:r>
    </w:p>
    <w:p>
      <w:pPr>
        <w:ind w:firstLine="424" w:firstLineChars="202"/>
        <w:rPr>
          <w:rFonts w:hAnsi="Calibri" w:cs="Calibri" w:asciiTheme="minorHAnsi"/>
        </w:rPr>
      </w:pPr>
      <w:r>
        <w:rPr>
          <w:rFonts w:hAnsi="Calibri" w:cs="Calibri" w:asciiTheme="minorHAnsi"/>
        </w:rPr>
        <w:t>焊接在钢板开孔处以连接双层钢板的标准连接部件。</w:t>
      </w:r>
    </w:p>
    <w:p>
      <w:pPr>
        <w:pStyle w:val="4"/>
        <w:ind w:left="0"/>
        <w:rPr>
          <w:rFonts w:hAnsi="Calibri" w:cs="Calibri" w:asciiTheme="minorHAnsi"/>
        </w:rPr>
      </w:pPr>
      <w:r>
        <w:rPr>
          <w:rFonts w:hAnsi="Calibri" w:cs="Calibri" w:asciiTheme="minorHAnsi"/>
        </w:rPr>
        <w:t>含钢率</w:t>
      </w:r>
      <w:r>
        <w:t>steel ratio</w:t>
      </w:r>
    </w:p>
    <w:p>
      <w:pPr>
        <w:rPr>
          <w:rFonts w:hAnsi="Calibri" w:cs="Calibri" w:asciiTheme="minorHAnsi"/>
        </w:rPr>
      </w:pPr>
      <w:r>
        <w:rPr>
          <w:rFonts w:hAnsi="Calibri" w:cs="Calibri" w:asciiTheme="minorHAnsi"/>
        </w:rPr>
        <w:t>钢板组合剪力墙横截面中钢板毛面积与混凝土面积之比。</w:t>
      </w:r>
    </w:p>
    <w:p>
      <w:pPr>
        <w:pStyle w:val="4"/>
        <w:ind w:left="0"/>
        <w:rPr>
          <w:rFonts w:hAnsi="Calibri" w:cs="Calibri" w:asciiTheme="minorHAnsi"/>
        </w:rPr>
      </w:pPr>
      <w:r>
        <w:rPr>
          <w:rFonts w:hAnsi="Calibri" w:cs="Calibri" w:asciiTheme="minorHAnsi"/>
        </w:rPr>
        <w:t xml:space="preserve">竖向肋板连接件 </w:t>
      </w:r>
      <w:r>
        <w:t>vertical rib connector</w:t>
      </w:r>
    </w:p>
    <w:p>
      <w:pPr>
        <w:rPr>
          <w:rFonts w:hAnsi="Calibri" w:cs="Calibri" w:asciiTheme="minorHAnsi"/>
        </w:rPr>
      </w:pPr>
      <w:r>
        <w:rPr>
          <w:rFonts w:hAnsi="Calibri" w:cs="Calibri" w:asciiTheme="minorHAnsi"/>
        </w:rPr>
        <w:t>竖向布置的同时与开孔钢板组合剪力墙和组合梁连接的肋板。</w:t>
      </w:r>
    </w:p>
    <w:p>
      <w:pPr>
        <w:pStyle w:val="3"/>
        <w:ind w:firstLine="482"/>
        <w:rPr>
          <w:rFonts w:hAnsi="Calibri" w:cs="Calibri" w:asciiTheme="minorHAnsi"/>
        </w:rPr>
      </w:pPr>
      <w:bookmarkStart w:id="8" w:name="_Toc13782"/>
      <w:bookmarkStart w:id="9" w:name="_Toc36207142"/>
      <w:r>
        <w:rPr>
          <w:rFonts w:hAnsi="Calibri" w:cs="Calibri" w:asciiTheme="minorHAnsi"/>
        </w:rPr>
        <w:t>符号</w:t>
      </w:r>
      <w:bookmarkEnd w:id="8"/>
      <w:bookmarkEnd w:id="9"/>
    </w:p>
    <w:p>
      <w:pPr>
        <w:pStyle w:val="4"/>
        <w:keepNext w:val="0"/>
        <w:keepLines w:val="0"/>
        <w:ind w:left="0"/>
        <w:rPr>
          <w:rFonts w:hAnsi="Calibri" w:cs="Calibri" w:asciiTheme="minorHAnsi"/>
        </w:rPr>
      </w:pPr>
      <w:bookmarkStart w:id="10" w:name="_Hlk4066627"/>
      <w:r>
        <w:rPr>
          <w:rFonts w:hAnsi="Calibri" w:cs="Calibri" w:asciiTheme="minorHAnsi"/>
        </w:rPr>
        <w:t>计算指标</w:t>
      </w:r>
      <w:bookmarkEnd w:id="10"/>
    </w:p>
    <w:tbl>
      <w:tblPr>
        <w:tblStyle w:val="43"/>
        <w:tblW w:w="8844" w:type="dxa"/>
        <w:tblInd w:w="0" w:type="dxa"/>
        <w:tblLayout w:type="fixed"/>
        <w:tblCellMar>
          <w:top w:w="0" w:type="dxa"/>
          <w:left w:w="108" w:type="dxa"/>
          <w:bottom w:w="0" w:type="dxa"/>
          <w:right w:w="108" w:type="dxa"/>
        </w:tblCellMar>
      </w:tblPr>
      <w:tblGrid>
        <w:gridCol w:w="996"/>
        <w:gridCol w:w="711"/>
        <w:gridCol w:w="7137"/>
      </w:tblGrid>
      <w:tr>
        <w:tblPrEx>
          <w:tblCellMar>
            <w:top w:w="0" w:type="dxa"/>
            <w:left w:w="108" w:type="dxa"/>
            <w:bottom w:w="0" w:type="dxa"/>
            <w:right w:w="108" w:type="dxa"/>
          </w:tblCellMar>
        </w:tblPrEx>
        <w:tc>
          <w:tcPr>
            <w:tcW w:w="996" w:type="dxa"/>
            <w:vAlign w:val="center"/>
          </w:tcPr>
          <w:p>
            <w:pPr>
              <w:jc w:val="right"/>
            </w:pPr>
            <w:r>
              <w:rPr>
                <w:i/>
              </w:rPr>
              <w:t>E</w:t>
            </w:r>
            <w:r>
              <w:rPr>
                <w:i/>
                <w:vertAlign w:val="subscript"/>
              </w:rPr>
              <w:t>s</w:t>
            </w:r>
          </w:p>
        </w:tc>
        <w:tc>
          <w:tcPr>
            <w:tcW w:w="711" w:type="dxa"/>
            <w:vAlign w:val="center"/>
          </w:tcPr>
          <w:p>
            <w:pPr>
              <w:tabs>
                <w:tab w:val="left" w:pos="214"/>
              </w:tabs>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钢板的弹性模量；</w:t>
            </w:r>
          </w:p>
        </w:tc>
      </w:tr>
      <w:tr>
        <w:tblPrEx>
          <w:tblCellMar>
            <w:top w:w="0" w:type="dxa"/>
            <w:left w:w="108" w:type="dxa"/>
            <w:bottom w:w="0" w:type="dxa"/>
            <w:right w:w="108" w:type="dxa"/>
          </w:tblCellMar>
        </w:tblPrEx>
        <w:tc>
          <w:tcPr>
            <w:tcW w:w="996" w:type="dxa"/>
            <w:vAlign w:val="center"/>
          </w:tcPr>
          <w:p>
            <w:pPr>
              <w:jc w:val="right"/>
              <w:rPr>
                <w:i/>
              </w:rPr>
            </w:pPr>
            <w:r>
              <w:rPr>
                <w:i/>
              </w:rPr>
              <w:t>E</w:t>
            </w:r>
            <w:r>
              <w:rPr>
                <w:vertAlign w:val="subscript"/>
              </w:rPr>
              <w:t>c</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混凝土的弹性模量；</w:t>
            </w:r>
          </w:p>
        </w:tc>
      </w:tr>
      <w:tr>
        <w:tblPrEx>
          <w:tblCellMar>
            <w:top w:w="0" w:type="dxa"/>
            <w:left w:w="108" w:type="dxa"/>
            <w:bottom w:w="0" w:type="dxa"/>
            <w:right w:w="108" w:type="dxa"/>
          </w:tblCellMar>
        </w:tblPrEx>
        <w:tc>
          <w:tcPr>
            <w:tcW w:w="996" w:type="dxa"/>
            <w:vAlign w:val="center"/>
          </w:tcPr>
          <w:p>
            <w:pPr>
              <w:jc w:val="right"/>
              <w:rPr>
                <w:i/>
              </w:rPr>
            </w:pPr>
            <w:r>
              <w:rPr>
                <w:i/>
              </w:rPr>
              <w:t>f</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钢板的抗拉、抗压和抗弯强度设计值；</w:t>
            </w:r>
          </w:p>
        </w:tc>
      </w:tr>
      <w:tr>
        <w:tblPrEx>
          <w:tblCellMar>
            <w:top w:w="0" w:type="dxa"/>
            <w:left w:w="108" w:type="dxa"/>
            <w:bottom w:w="0" w:type="dxa"/>
            <w:right w:w="108" w:type="dxa"/>
          </w:tblCellMar>
        </w:tblPrEx>
        <w:tc>
          <w:tcPr>
            <w:tcW w:w="996" w:type="dxa"/>
            <w:vAlign w:val="center"/>
          </w:tcPr>
          <w:p>
            <w:pPr>
              <w:jc w:val="right"/>
              <w:rPr>
                <w:i/>
              </w:rPr>
            </w:pPr>
            <w:r>
              <w:rPr>
                <w:i/>
              </w:rPr>
              <w:t>f</w:t>
            </w:r>
            <w:r>
              <w:rPr>
                <w:vertAlign w:val="subscript"/>
              </w:rPr>
              <w:t>c</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混凝土的轴心抗压强度设计值；</w:t>
            </w:r>
          </w:p>
        </w:tc>
      </w:tr>
      <w:tr>
        <w:tblPrEx>
          <w:tblCellMar>
            <w:top w:w="0" w:type="dxa"/>
            <w:left w:w="108" w:type="dxa"/>
            <w:bottom w:w="0" w:type="dxa"/>
            <w:right w:w="108" w:type="dxa"/>
          </w:tblCellMar>
        </w:tblPrEx>
        <w:tc>
          <w:tcPr>
            <w:tcW w:w="996" w:type="dxa"/>
            <w:vAlign w:val="center"/>
          </w:tcPr>
          <w:p>
            <w:pPr>
              <w:jc w:val="right"/>
              <w:rPr>
                <w:i/>
              </w:rPr>
            </w:pPr>
            <w:r>
              <w:rPr>
                <w:i/>
              </w:rPr>
              <w:t>F</w:t>
            </w:r>
            <w:r>
              <w:rPr>
                <w:vertAlign w:val="subscript"/>
              </w:rPr>
              <w:t>sty</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双钢板标准连接件的屈服强度设计值；</w:t>
            </w:r>
          </w:p>
        </w:tc>
      </w:tr>
      <w:tr>
        <w:tblPrEx>
          <w:tblCellMar>
            <w:top w:w="0" w:type="dxa"/>
            <w:left w:w="108" w:type="dxa"/>
            <w:bottom w:w="0" w:type="dxa"/>
            <w:right w:w="108" w:type="dxa"/>
          </w:tblCellMar>
        </w:tblPrEx>
        <w:tc>
          <w:tcPr>
            <w:tcW w:w="996" w:type="dxa"/>
            <w:vAlign w:val="center"/>
          </w:tcPr>
          <w:p>
            <w:pPr>
              <w:jc w:val="right"/>
              <w:rPr>
                <w:i/>
              </w:rPr>
            </w:pPr>
            <w:r>
              <w:rPr>
                <w:i/>
              </w:rPr>
              <w:t>f</w:t>
            </w:r>
            <w:r>
              <w:rPr>
                <w:vertAlign w:val="subscript"/>
              </w:rPr>
              <w:t>y</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钢板的屈服强度标准值；</w:t>
            </w:r>
          </w:p>
        </w:tc>
      </w:tr>
      <w:tr>
        <w:tblPrEx>
          <w:tblCellMar>
            <w:top w:w="0" w:type="dxa"/>
            <w:left w:w="108" w:type="dxa"/>
            <w:bottom w:w="0" w:type="dxa"/>
            <w:right w:w="108" w:type="dxa"/>
          </w:tblCellMar>
        </w:tblPrEx>
        <w:tc>
          <w:tcPr>
            <w:tcW w:w="996" w:type="dxa"/>
            <w:vAlign w:val="center"/>
          </w:tcPr>
          <w:p>
            <w:pPr>
              <w:jc w:val="right"/>
              <w:rPr>
                <w:i/>
              </w:rPr>
            </w:pPr>
            <w:r>
              <w:rPr>
                <w:i/>
              </w:rPr>
              <w:t>f</w:t>
            </w:r>
            <w:r>
              <w:rPr>
                <w:vertAlign w:val="subscript"/>
              </w:rPr>
              <w:t>u</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钢板的抗拉强度设计值；</w:t>
            </w:r>
          </w:p>
        </w:tc>
      </w:tr>
      <w:tr>
        <w:tblPrEx>
          <w:tblCellMar>
            <w:top w:w="0" w:type="dxa"/>
            <w:left w:w="108" w:type="dxa"/>
            <w:bottom w:w="0" w:type="dxa"/>
            <w:right w:w="108" w:type="dxa"/>
          </w:tblCellMar>
        </w:tblPrEx>
        <w:tc>
          <w:tcPr>
            <w:tcW w:w="996" w:type="dxa"/>
            <w:vAlign w:val="center"/>
          </w:tcPr>
          <w:p>
            <w:pPr>
              <w:jc w:val="right"/>
              <w:rPr>
                <w:i/>
              </w:rPr>
            </w:pPr>
            <w:r>
              <w:rPr>
                <w:i/>
              </w:rPr>
              <w:t>f</w:t>
            </w:r>
            <w:r>
              <w:rPr>
                <w:vertAlign w:val="subscript"/>
              </w:rPr>
              <w:t>v</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钢板的抗剪强度设计值；</w:t>
            </w:r>
          </w:p>
        </w:tc>
      </w:tr>
      <w:tr>
        <w:tblPrEx>
          <w:tblCellMar>
            <w:top w:w="0" w:type="dxa"/>
            <w:left w:w="108" w:type="dxa"/>
            <w:bottom w:w="0" w:type="dxa"/>
            <w:right w:w="108" w:type="dxa"/>
          </w:tblCellMar>
        </w:tblPrEx>
        <w:tc>
          <w:tcPr>
            <w:tcW w:w="996" w:type="dxa"/>
            <w:vAlign w:val="center"/>
          </w:tcPr>
          <w:p>
            <w:pPr>
              <w:jc w:val="right"/>
              <w:rPr>
                <w:i/>
              </w:rPr>
            </w:pPr>
            <w:r>
              <w:rPr>
                <w:i/>
              </w:rPr>
              <w:t>G</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钢材的</w:t>
            </w:r>
            <w:r>
              <w:rPr>
                <w:rFonts w:hint="eastAsia" w:hAnsi="Calibri" w:cs="Calibri" w:asciiTheme="minorHAnsi"/>
              </w:rPr>
              <w:t>剪切</w:t>
            </w:r>
            <w:r>
              <w:rPr>
                <w:rFonts w:hAnsi="Calibri" w:cs="Calibri" w:asciiTheme="minorHAnsi"/>
              </w:rPr>
              <w:t>模量；</w:t>
            </w:r>
          </w:p>
        </w:tc>
      </w:tr>
      <w:tr>
        <w:tblPrEx>
          <w:tblCellMar>
            <w:top w:w="0" w:type="dxa"/>
            <w:left w:w="108" w:type="dxa"/>
            <w:bottom w:w="0" w:type="dxa"/>
            <w:right w:w="108" w:type="dxa"/>
          </w:tblCellMar>
        </w:tblPrEx>
        <w:tc>
          <w:tcPr>
            <w:tcW w:w="996" w:type="dxa"/>
            <w:vAlign w:val="center"/>
          </w:tcPr>
          <w:p>
            <w:pPr>
              <w:jc w:val="right"/>
              <w:rPr>
                <w:i/>
              </w:rPr>
            </w:pPr>
            <w:r>
              <w:rPr>
                <w:i/>
              </w:rPr>
              <w:t>M</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开孔钢板组合剪力墙的弯矩设计值；</w:t>
            </w:r>
          </w:p>
        </w:tc>
      </w:tr>
      <w:tr>
        <w:tblPrEx>
          <w:tblCellMar>
            <w:top w:w="0" w:type="dxa"/>
            <w:left w:w="108" w:type="dxa"/>
            <w:bottom w:w="0" w:type="dxa"/>
            <w:right w:w="108" w:type="dxa"/>
          </w:tblCellMar>
        </w:tblPrEx>
        <w:tc>
          <w:tcPr>
            <w:tcW w:w="996" w:type="dxa"/>
            <w:vAlign w:val="center"/>
          </w:tcPr>
          <w:p>
            <w:pPr>
              <w:jc w:val="right"/>
              <w:rPr>
                <w:i/>
              </w:rPr>
            </w:pPr>
            <w:r>
              <w:rPr>
                <w:i/>
              </w:rPr>
              <w:t>M</w:t>
            </w:r>
            <w:r>
              <w:rPr>
                <w:vertAlign w:val="subscript"/>
              </w:rPr>
              <w:t>u</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开孔钢板组合剪力墙的抗弯承载力设计值；</w:t>
            </w:r>
          </w:p>
        </w:tc>
      </w:tr>
      <w:tr>
        <w:tblPrEx>
          <w:tblCellMar>
            <w:top w:w="0" w:type="dxa"/>
            <w:left w:w="108" w:type="dxa"/>
            <w:bottom w:w="0" w:type="dxa"/>
            <w:right w:w="108" w:type="dxa"/>
          </w:tblCellMar>
        </w:tblPrEx>
        <w:tc>
          <w:tcPr>
            <w:tcW w:w="996" w:type="dxa"/>
            <w:vAlign w:val="center"/>
          </w:tcPr>
          <w:p>
            <w:pPr>
              <w:jc w:val="right"/>
              <w:rPr>
                <w:i/>
              </w:rPr>
            </w:pPr>
            <w:r>
              <w:rPr>
                <w:i/>
              </w:rPr>
              <w:t>N</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开孔钢板组合剪力墙的轴压力设计值；</w:t>
            </w:r>
          </w:p>
        </w:tc>
      </w:tr>
      <w:tr>
        <w:tblPrEx>
          <w:tblCellMar>
            <w:top w:w="0" w:type="dxa"/>
            <w:left w:w="108" w:type="dxa"/>
            <w:bottom w:w="0" w:type="dxa"/>
            <w:right w:w="108" w:type="dxa"/>
          </w:tblCellMar>
        </w:tblPrEx>
        <w:tc>
          <w:tcPr>
            <w:tcW w:w="996" w:type="dxa"/>
            <w:vAlign w:val="center"/>
          </w:tcPr>
          <w:p>
            <w:pPr>
              <w:jc w:val="right"/>
              <w:rPr>
                <w:i/>
              </w:rPr>
            </w:pPr>
            <w:r>
              <w:rPr>
                <w:i/>
              </w:rPr>
              <w:t>N</w:t>
            </w:r>
            <w:r>
              <w:rPr>
                <w:vertAlign w:val="subscript"/>
              </w:rPr>
              <w:t>u</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开孔钢板组合剪力墙的轴心受压承载力设计值；</w:t>
            </w:r>
          </w:p>
        </w:tc>
      </w:tr>
      <w:tr>
        <w:tblPrEx>
          <w:tblCellMar>
            <w:top w:w="0" w:type="dxa"/>
            <w:left w:w="108" w:type="dxa"/>
            <w:bottom w:w="0" w:type="dxa"/>
            <w:right w:w="108" w:type="dxa"/>
          </w:tblCellMar>
        </w:tblPrEx>
        <w:tc>
          <w:tcPr>
            <w:tcW w:w="996" w:type="dxa"/>
            <w:vAlign w:val="center"/>
          </w:tcPr>
          <w:p>
            <w:pPr>
              <w:jc w:val="right"/>
              <w:rPr>
                <w:i/>
              </w:rPr>
            </w:pPr>
            <w:r>
              <w:rPr>
                <w:i/>
              </w:rPr>
              <w:t>T</w:t>
            </w:r>
            <w:r>
              <w:rPr>
                <w:vertAlign w:val="subscript"/>
              </w:rPr>
              <w:t>st</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单个标准连接件拉力设计值；</w:t>
            </w:r>
          </w:p>
        </w:tc>
      </w:tr>
      <w:tr>
        <w:tblPrEx>
          <w:tblCellMar>
            <w:top w:w="0" w:type="dxa"/>
            <w:left w:w="108" w:type="dxa"/>
            <w:bottom w:w="0" w:type="dxa"/>
            <w:right w:w="108" w:type="dxa"/>
          </w:tblCellMar>
        </w:tblPrEx>
        <w:tc>
          <w:tcPr>
            <w:tcW w:w="996" w:type="dxa"/>
            <w:vAlign w:val="center"/>
          </w:tcPr>
          <w:p>
            <w:pPr>
              <w:jc w:val="right"/>
              <w:rPr>
                <w:i/>
              </w:rPr>
            </w:pPr>
            <w:r>
              <w:rPr>
                <w:i/>
              </w:rPr>
              <w:t>T</w:t>
            </w:r>
            <w:r>
              <w:rPr>
                <w:vertAlign w:val="subscript"/>
              </w:rPr>
              <w:t>ust</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单个标准连接件抗拉承载力设计值；</w:t>
            </w:r>
          </w:p>
        </w:tc>
      </w:tr>
      <w:tr>
        <w:tblPrEx>
          <w:tblCellMar>
            <w:top w:w="0" w:type="dxa"/>
            <w:left w:w="108" w:type="dxa"/>
            <w:bottom w:w="0" w:type="dxa"/>
            <w:right w:w="108" w:type="dxa"/>
          </w:tblCellMar>
        </w:tblPrEx>
        <w:tc>
          <w:tcPr>
            <w:tcW w:w="996" w:type="dxa"/>
            <w:vAlign w:val="center"/>
          </w:tcPr>
          <w:p>
            <w:pPr>
              <w:jc w:val="right"/>
              <w:rPr>
                <w:i/>
              </w:rPr>
            </w:pPr>
            <w:r>
              <w:rPr>
                <w:i/>
              </w:rPr>
              <w:t>V</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开孔钢板组合剪力墙的剪力设计值；</w:t>
            </w:r>
          </w:p>
        </w:tc>
      </w:tr>
      <w:tr>
        <w:tblPrEx>
          <w:tblCellMar>
            <w:top w:w="0" w:type="dxa"/>
            <w:left w:w="108" w:type="dxa"/>
            <w:bottom w:w="0" w:type="dxa"/>
            <w:right w:w="108" w:type="dxa"/>
          </w:tblCellMar>
        </w:tblPrEx>
        <w:tc>
          <w:tcPr>
            <w:tcW w:w="996" w:type="dxa"/>
            <w:vAlign w:val="center"/>
          </w:tcPr>
          <w:p>
            <w:pPr>
              <w:jc w:val="right"/>
              <w:rPr>
                <w:i/>
              </w:rPr>
            </w:pPr>
            <w:r>
              <w:rPr>
                <w:i/>
              </w:rPr>
              <w:t>V</w:t>
            </w:r>
            <w:r>
              <w:rPr>
                <w:vertAlign w:val="subscript"/>
              </w:rPr>
              <w:t>u</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开孔钢板组合剪力墙的抗剪承载力设计值；</w:t>
            </w:r>
          </w:p>
        </w:tc>
      </w:tr>
      <w:tr>
        <w:tblPrEx>
          <w:tblCellMar>
            <w:top w:w="0" w:type="dxa"/>
            <w:left w:w="108" w:type="dxa"/>
            <w:bottom w:w="0" w:type="dxa"/>
            <w:right w:w="108" w:type="dxa"/>
          </w:tblCellMar>
        </w:tblPrEx>
        <w:tc>
          <w:tcPr>
            <w:tcW w:w="996" w:type="dxa"/>
            <w:vAlign w:val="center"/>
          </w:tcPr>
          <w:p>
            <w:pPr>
              <w:jc w:val="right"/>
              <w:rPr>
                <w:i/>
              </w:rPr>
            </w:pPr>
            <w:r>
              <w:rPr>
                <w:i/>
              </w:rPr>
              <w:t>υ</w:t>
            </w:r>
          </w:p>
        </w:tc>
        <w:tc>
          <w:tcPr>
            <w:tcW w:w="711" w:type="dxa"/>
            <w:vAlign w:val="center"/>
          </w:tcPr>
          <w:p>
            <w:pPr>
              <w:ind w:firstLine="0" w:firstLineChars="0"/>
              <w:jc w:val="both"/>
              <w:rPr>
                <w:rFonts w:hAnsi="Calibri" w:cs="Calibri" w:asciiTheme="minorHAnsi"/>
              </w:rPr>
            </w:pPr>
            <w:r>
              <w:t>——</w:t>
            </w:r>
          </w:p>
        </w:tc>
        <w:tc>
          <w:tcPr>
            <w:tcW w:w="7137" w:type="dxa"/>
            <w:vAlign w:val="center"/>
          </w:tcPr>
          <w:p>
            <w:pPr>
              <w:ind w:firstLine="0" w:firstLineChars="0"/>
              <w:jc w:val="both"/>
              <w:rPr>
                <w:rFonts w:hAnsi="Calibri" w:cs="Calibri" w:asciiTheme="minorHAnsi"/>
              </w:rPr>
            </w:pPr>
            <w:r>
              <w:rPr>
                <w:rFonts w:hAnsi="Calibri" w:cs="Calibri" w:asciiTheme="minorHAnsi"/>
              </w:rPr>
              <w:t>钢材的泊松比。</w:t>
            </w:r>
          </w:p>
        </w:tc>
      </w:tr>
    </w:tbl>
    <w:p>
      <w:pPr>
        <w:pStyle w:val="4"/>
        <w:keepNext w:val="0"/>
        <w:keepLines w:val="0"/>
        <w:ind w:left="0"/>
        <w:rPr>
          <w:rFonts w:hAnsi="Calibri" w:cs="Calibri" w:asciiTheme="minorHAnsi"/>
        </w:rPr>
      </w:pPr>
      <w:r>
        <w:rPr>
          <w:rFonts w:hAnsi="Calibri" w:cs="Calibri" w:asciiTheme="minorHAnsi"/>
        </w:rPr>
        <w:t>几何参数</w:t>
      </w:r>
    </w:p>
    <w:tbl>
      <w:tblPr>
        <w:tblStyle w:val="43"/>
        <w:tblW w:w="8844" w:type="dxa"/>
        <w:tblInd w:w="0" w:type="dxa"/>
        <w:tblLayout w:type="fixed"/>
        <w:tblCellMar>
          <w:top w:w="0" w:type="dxa"/>
          <w:left w:w="108" w:type="dxa"/>
          <w:bottom w:w="0" w:type="dxa"/>
          <w:right w:w="108" w:type="dxa"/>
        </w:tblCellMar>
      </w:tblPr>
      <w:tblGrid>
        <w:gridCol w:w="996"/>
        <w:gridCol w:w="736"/>
        <w:gridCol w:w="7112"/>
      </w:tblGrid>
      <w:tr>
        <w:tc>
          <w:tcPr>
            <w:tcW w:w="996" w:type="dxa"/>
            <w:vAlign w:val="center"/>
          </w:tcPr>
          <w:p>
            <w:pPr>
              <w:jc w:val="right"/>
            </w:pPr>
            <w:r>
              <w:rPr>
                <w:i/>
              </w:rPr>
              <w:t>A</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开孔钢板组合剪力墙的截面面积；</w:t>
            </w:r>
          </w:p>
        </w:tc>
      </w:tr>
      <w:tr>
        <w:tblPrEx>
          <w:tblCellMar>
            <w:top w:w="0" w:type="dxa"/>
            <w:left w:w="108" w:type="dxa"/>
            <w:bottom w:w="0" w:type="dxa"/>
            <w:right w:w="108" w:type="dxa"/>
          </w:tblCellMar>
        </w:tblPrEx>
        <w:tc>
          <w:tcPr>
            <w:tcW w:w="996" w:type="dxa"/>
            <w:vAlign w:val="center"/>
          </w:tcPr>
          <w:p>
            <w:pPr>
              <w:jc w:val="right"/>
              <w:rPr>
                <w:i/>
              </w:rPr>
            </w:pPr>
            <w:r>
              <w:rPr>
                <w:i/>
              </w:rPr>
              <w:t>A</w:t>
            </w:r>
            <w:r>
              <w:rPr>
                <w:vertAlign w:val="subscript"/>
              </w:rPr>
              <w:t>c</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开孔钢板组合剪力墙截面的混凝土面积；</w:t>
            </w:r>
          </w:p>
        </w:tc>
      </w:tr>
      <w:tr>
        <w:tblPrEx>
          <w:tblCellMar>
            <w:top w:w="0" w:type="dxa"/>
            <w:left w:w="108" w:type="dxa"/>
            <w:bottom w:w="0" w:type="dxa"/>
            <w:right w:w="108" w:type="dxa"/>
          </w:tblCellMar>
        </w:tblPrEx>
        <w:tc>
          <w:tcPr>
            <w:tcW w:w="996" w:type="dxa"/>
            <w:vAlign w:val="center"/>
          </w:tcPr>
          <w:p>
            <w:pPr>
              <w:jc w:val="right"/>
              <w:rPr>
                <w:i/>
              </w:rPr>
            </w:pPr>
            <w:r>
              <w:rPr>
                <w:i/>
              </w:rPr>
              <w:t>A</w:t>
            </w:r>
            <w:r>
              <w:rPr>
                <w:vertAlign w:val="subscript"/>
              </w:rPr>
              <w:t>s</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开孔钢板组合剪力墙截面的钢板面积；</w:t>
            </w:r>
          </w:p>
        </w:tc>
      </w:tr>
      <w:tr>
        <w:tblPrEx>
          <w:tblCellMar>
            <w:top w:w="0" w:type="dxa"/>
            <w:left w:w="108" w:type="dxa"/>
            <w:bottom w:w="0" w:type="dxa"/>
            <w:right w:w="108" w:type="dxa"/>
          </w:tblCellMar>
        </w:tblPrEx>
        <w:tc>
          <w:tcPr>
            <w:tcW w:w="996" w:type="dxa"/>
            <w:vAlign w:val="center"/>
          </w:tcPr>
          <w:p>
            <w:pPr>
              <w:jc w:val="right"/>
              <w:rPr>
                <w:i/>
              </w:rPr>
            </w:pPr>
            <w:r>
              <w:rPr>
                <w:i/>
              </w:rPr>
              <w:t>A</w:t>
            </w:r>
            <w:r>
              <w:rPr>
                <w:vertAlign w:val="subscript"/>
              </w:rPr>
              <w:t>st</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标准连接件的截面面积；</w:t>
            </w:r>
          </w:p>
        </w:tc>
      </w:tr>
      <w:tr>
        <w:tblPrEx>
          <w:tblCellMar>
            <w:top w:w="0" w:type="dxa"/>
            <w:left w:w="108" w:type="dxa"/>
            <w:bottom w:w="0" w:type="dxa"/>
            <w:right w:w="108" w:type="dxa"/>
          </w:tblCellMar>
        </w:tblPrEx>
        <w:tc>
          <w:tcPr>
            <w:tcW w:w="996" w:type="dxa"/>
            <w:vAlign w:val="center"/>
          </w:tcPr>
          <w:p>
            <w:pPr>
              <w:jc w:val="right"/>
              <w:rPr>
                <w:i/>
              </w:rPr>
            </w:pPr>
            <w:r>
              <w:rPr>
                <w:i/>
              </w:rPr>
              <w:t>A</w:t>
            </w:r>
            <w:r>
              <w:rPr>
                <w:vertAlign w:val="subscript"/>
              </w:rPr>
              <w:t>sw</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平行于开孔钢板组合剪力墙受力平面的钢板面积；</w:t>
            </w:r>
          </w:p>
        </w:tc>
      </w:tr>
      <w:tr>
        <w:tblPrEx>
          <w:tblCellMar>
            <w:top w:w="0" w:type="dxa"/>
            <w:left w:w="108" w:type="dxa"/>
            <w:bottom w:w="0" w:type="dxa"/>
            <w:right w:w="108" w:type="dxa"/>
          </w:tblCellMar>
        </w:tblPrEx>
        <w:trPr>
          <w:trHeight w:val="388" w:hRule="atLeast"/>
        </w:trPr>
        <w:tc>
          <w:tcPr>
            <w:tcW w:w="996" w:type="dxa"/>
            <w:vAlign w:val="center"/>
          </w:tcPr>
          <w:p>
            <w:pPr>
              <w:ind w:firstLine="0" w:firstLineChars="0"/>
              <w:jc w:val="right"/>
              <w:rPr>
                <w:i/>
              </w:rPr>
            </w:pPr>
            <w:r>
              <w:rPr>
                <w:position w:val="-10"/>
              </w:rPr>
              <w:object>
                <v:shape id="_x0000_i1025" o:spt="75" type="#_x0000_t75" style="height:15.9pt;width:20.9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平行于剪力墙受力平面的受压钢板面积；</w:t>
            </w:r>
          </w:p>
        </w:tc>
      </w:tr>
      <w:tr>
        <w:tblPrEx>
          <w:tblCellMar>
            <w:top w:w="0" w:type="dxa"/>
            <w:left w:w="108" w:type="dxa"/>
            <w:bottom w:w="0" w:type="dxa"/>
            <w:right w:w="108" w:type="dxa"/>
          </w:tblCellMar>
        </w:tblPrEx>
        <w:tc>
          <w:tcPr>
            <w:tcW w:w="996" w:type="dxa"/>
            <w:vAlign w:val="center"/>
          </w:tcPr>
          <w:p>
            <w:pPr>
              <w:jc w:val="right"/>
              <w:rPr>
                <w:i/>
              </w:rPr>
            </w:pPr>
            <w:r>
              <w:rPr>
                <w:i/>
              </w:rPr>
              <w:t>EA</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开孔钢板组合剪力墙的截面轴压刚度；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26" o:spt="75" type="#_x0000_t75" style="height:15.9pt;width:24.3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开孔钢板组合剪力墙混凝土部分的截面轴压刚度；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27" o:spt="75" type="#_x0000_t75" style="height:15.9pt;width:22.6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开孔钢板组合剪力墙钢板部分的截面轴压刚度；</w:t>
            </w:r>
          </w:p>
        </w:tc>
      </w:tr>
      <w:tr>
        <w:tblPrEx>
          <w:tblCellMar>
            <w:top w:w="0" w:type="dxa"/>
            <w:left w:w="108" w:type="dxa"/>
            <w:bottom w:w="0" w:type="dxa"/>
            <w:right w:w="108" w:type="dxa"/>
          </w:tblCellMar>
        </w:tblPrEx>
        <w:tc>
          <w:tcPr>
            <w:tcW w:w="996" w:type="dxa"/>
            <w:vAlign w:val="center"/>
          </w:tcPr>
          <w:p>
            <w:pPr>
              <w:jc w:val="right"/>
              <w:rPr>
                <w:i/>
              </w:rPr>
            </w:pPr>
            <w:r>
              <w:rPr>
                <w:i/>
              </w:rPr>
              <w:t>EI</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开孔钢板组合剪力墙的截面弯曲刚度；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28" o:spt="75" type="#_x0000_t75" style="height:15.9pt;width:20.95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开孔钢板组合剪力墙混凝土部分的截面弯曲刚度；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29" o:spt="75" type="#_x0000_t75" style="height:15.9pt;width:20.95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开孔钢板组合剪力墙钢板部分的截面弯曲刚度；</w:t>
            </w:r>
          </w:p>
        </w:tc>
      </w:tr>
      <w:tr>
        <w:tblPrEx>
          <w:tblCellMar>
            <w:top w:w="0" w:type="dxa"/>
            <w:left w:w="108" w:type="dxa"/>
            <w:bottom w:w="0" w:type="dxa"/>
            <w:right w:w="108" w:type="dxa"/>
          </w:tblCellMar>
        </w:tblPrEx>
        <w:tc>
          <w:tcPr>
            <w:tcW w:w="996" w:type="dxa"/>
            <w:vAlign w:val="center"/>
          </w:tcPr>
          <w:p>
            <w:pPr>
              <w:jc w:val="right"/>
              <w:rPr>
                <w:i/>
              </w:rPr>
            </w:pPr>
            <w:r>
              <w:rPr>
                <w:i/>
              </w:rPr>
              <w:t>GA</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开孔钢板组合剪力墙的截面剪切刚度；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30" o:spt="75" type="#_x0000_t75" style="height:15.9pt;width:24.3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开孔钢板组合剪力墙混凝土部分的截面剪切刚度；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31" o:spt="75" type="#_x0000_t75" style="height:15.9pt;width:24.3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1" r:id="rId29">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开孔钢板组合剪力墙钢板部分的截面剪切刚度；</w:t>
            </w:r>
          </w:p>
        </w:tc>
      </w:tr>
      <w:tr>
        <w:tblPrEx>
          <w:tblCellMar>
            <w:top w:w="0" w:type="dxa"/>
            <w:left w:w="108" w:type="dxa"/>
            <w:bottom w:w="0" w:type="dxa"/>
            <w:right w:w="108" w:type="dxa"/>
          </w:tblCellMar>
        </w:tblPrEx>
        <w:tc>
          <w:tcPr>
            <w:tcW w:w="996" w:type="dxa"/>
            <w:vAlign w:val="center"/>
          </w:tcPr>
          <w:p>
            <w:pPr>
              <w:jc w:val="right"/>
              <w:rPr>
                <w:i/>
              </w:rPr>
            </w:pPr>
            <w:r>
              <w:rPr>
                <w:i/>
              </w:rPr>
              <w:t>H</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开孔钢板组合剪力墙的高度；</w:t>
            </w:r>
          </w:p>
        </w:tc>
      </w:tr>
      <w:tr>
        <w:tblPrEx>
          <w:tblCellMar>
            <w:top w:w="0" w:type="dxa"/>
            <w:left w:w="108" w:type="dxa"/>
            <w:bottom w:w="0" w:type="dxa"/>
            <w:right w:w="108" w:type="dxa"/>
          </w:tblCellMar>
        </w:tblPrEx>
        <w:tc>
          <w:tcPr>
            <w:tcW w:w="996" w:type="dxa"/>
            <w:vAlign w:val="center"/>
          </w:tcPr>
          <w:p>
            <w:pPr>
              <w:jc w:val="right"/>
              <w:rPr>
                <w:i/>
              </w:rPr>
            </w:pPr>
            <w:r>
              <w:rPr>
                <w:i/>
              </w:rPr>
              <w:t>L</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开孔钢板组合剪力墙的宽度；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32" o:spt="75" type="#_x0000_t75" style="height:15.05pt;width:13.4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2" r:id="rId31">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开孔钢板组合剪力墙单片钢板的厚度；</w:t>
            </w:r>
          </w:p>
        </w:tc>
      </w:tr>
      <w:tr>
        <w:tblPrEx>
          <w:tblCellMar>
            <w:top w:w="0" w:type="dxa"/>
            <w:left w:w="108" w:type="dxa"/>
            <w:bottom w:w="0" w:type="dxa"/>
            <w:right w:w="108" w:type="dxa"/>
          </w:tblCellMar>
        </w:tblPrEx>
        <w:tc>
          <w:tcPr>
            <w:tcW w:w="996" w:type="dxa"/>
            <w:vAlign w:val="center"/>
          </w:tcPr>
          <w:p>
            <w:pPr>
              <w:ind w:firstLine="0" w:firstLineChars="0"/>
              <w:jc w:val="right"/>
              <w:rPr>
                <w:i/>
              </w:rPr>
            </w:pPr>
            <w:r>
              <w:rPr>
                <w:i/>
                <w:position w:val="-10"/>
              </w:rPr>
              <w:object>
                <v:shape id="_x0000_i1033" o:spt="75" type="#_x0000_t75" style="height:15.05pt;width:14.2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3" r:id="rId33">
                  <o:LockedField>false</o:LockedField>
                </o:OLEObject>
              </w:objec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开孔钢板组合剪力墙墙体的厚度；</w:t>
            </w:r>
          </w:p>
        </w:tc>
      </w:tr>
      <w:tr>
        <w:tblPrEx>
          <w:tblCellMar>
            <w:top w:w="0" w:type="dxa"/>
            <w:left w:w="108" w:type="dxa"/>
            <w:bottom w:w="0" w:type="dxa"/>
            <w:right w:w="108" w:type="dxa"/>
          </w:tblCellMar>
        </w:tblPrEx>
        <w:tc>
          <w:tcPr>
            <w:tcW w:w="996" w:type="dxa"/>
            <w:vAlign w:val="center"/>
          </w:tcPr>
          <w:p>
            <w:pPr>
              <w:jc w:val="right"/>
              <w:rPr>
                <w:i/>
              </w:rPr>
            </w:pPr>
            <w:r>
              <w:rPr>
                <w:i/>
              </w:rPr>
              <w:t xml:space="preserve">λ  </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开孔钢板组合剪力墙的平面外长细比；</w:t>
            </w:r>
          </w:p>
        </w:tc>
      </w:tr>
      <w:tr>
        <w:tblPrEx>
          <w:tblCellMar>
            <w:top w:w="0" w:type="dxa"/>
            <w:left w:w="108" w:type="dxa"/>
            <w:bottom w:w="0" w:type="dxa"/>
            <w:right w:w="108" w:type="dxa"/>
          </w:tblCellMar>
        </w:tblPrEx>
        <w:tc>
          <w:tcPr>
            <w:tcW w:w="996" w:type="dxa"/>
            <w:vAlign w:val="center"/>
          </w:tcPr>
          <w:p>
            <w:pPr>
              <w:jc w:val="right"/>
              <w:rPr>
                <w:i/>
              </w:rPr>
            </w:pPr>
            <w:r>
              <w:rPr>
                <w:i/>
              </w:rPr>
              <w:t>λ</w:t>
            </w:r>
            <w:r>
              <w:rPr>
                <w:vertAlign w:val="subscript"/>
              </w:rPr>
              <w:t>0</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强度破坏界限长细比；</w:t>
            </w:r>
          </w:p>
        </w:tc>
      </w:tr>
      <w:tr>
        <w:tblPrEx>
          <w:tblCellMar>
            <w:top w:w="0" w:type="dxa"/>
            <w:left w:w="108" w:type="dxa"/>
            <w:bottom w:w="0" w:type="dxa"/>
            <w:right w:w="108" w:type="dxa"/>
          </w:tblCellMar>
        </w:tblPrEx>
        <w:trPr>
          <w:trHeight w:val="66" w:hRule="atLeast"/>
        </w:trPr>
        <w:tc>
          <w:tcPr>
            <w:tcW w:w="996" w:type="dxa"/>
            <w:vAlign w:val="center"/>
          </w:tcPr>
          <w:p>
            <w:pPr>
              <w:jc w:val="right"/>
              <w:rPr>
                <w:i/>
              </w:rPr>
            </w:pPr>
            <w:r>
              <w:rPr>
                <w:i/>
              </w:rPr>
              <w:t>λ</w:t>
            </w:r>
            <w:r>
              <w:rPr>
                <w:vertAlign w:val="subscript"/>
              </w:rPr>
              <w:t>p</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弹塑性失稳界限长细比。</w:t>
            </w:r>
          </w:p>
        </w:tc>
      </w:tr>
    </w:tbl>
    <w:p>
      <w:pPr>
        <w:pStyle w:val="4"/>
        <w:keepNext w:val="0"/>
        <w:keepLines w:val="0"/>
        <w:ind w:left="0"/>
        <w:rPr>
          <w:rFonts w:hAnsi="Calibri" w:cs="Calibri" w:asciiTheme="minorHAnsi"/>
        </w:rPr>
      </w:pPr>
      <w:r>
        <w:rPr>
          <w:rFonts w:hAnsi="Calibri" w:cs="Calibri" w:asciiTheme="minorHAnsi"/>
        </w:rPr>
        <w:t>计算系数及其他</w:t>
      </w:r>
    </w:p>
    <w:tbl>
      <w:tblPr>
        <w:tblStyle w:val="43"/>
        <w:tblW w:w="8844" w:type="dxa"/>
        <w:tblInd w:w="0" w:type="dxa"/>
        <w:tblLayout w:type="fixed"/>
        <w:tblCellMar>
          <w:top w:w="0" w:type="dxa"/>
          <w:left w:w="108" w:type="dxa"/>
          <w:bottom w:w="0" w:type="dxa"/>
          <w:right w:w="108" w:type="dxa"/>
        </w:tblCellMar>
      </w:tblPr>
      <w:tblGrid>
        <w:gridCol w:w="996"/>
        <w:gridCol w:w="736"/>
        <w:gridCol w:w="7112"/>
      </w:tblGrid>
      <w:tr>
        <w:tblPrEx>
          <w:tblCellMar>
            <w:top w:w="0" w:type="dxa"/>
            <w:left w:w="108" w:type="dxa"/>
            <w:bottom w:w="0" w:type="dxa"/>
            <w:right w:w="108" w:type="dxa"/>
          </w:tblCellMar>
        </w:tblPrEx>
        <w:tc>
          <w:tcPr>
            <w:tcW w:w="996" w:type="dxa"/>
          </w:tcPr>
          <w:p>
            <w:pPr>
              <w:jc w:val="right"/>
              <w:rPr>
                <w:i/>
              </w:rPr>
            </w:pPr>
            <w:r>
              <w:rPr>
                <w:i/>
              </w:rPr>
              <w:t>n</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轴压比；</w:t>
            </w:r>
          </w:p>
        </w:tc>
      </w:tr>
      <w:tr>
        <w:tblPrEx>
          <w:tblCellMar>
            <w:top w:w="0" w:type="dxa"/>
            <w:left w:w="108" w:type="dxa"/>
            <w:bottom w:w="0" w:type="dxa"/>
            <w:right w:w="108" w:type="dxa"/>
          </w:tblCellMar>
        </w:tblPrEx>
        <w:tc>
          <w:tcPr>
            <w:tcW w:w="996" w:type="dxa"/>
          </w:tcPr>
          <w:p>
            <w:pPr>
              <w:jc w:val="right"/>
              <w:rPr>
                <w:i/>
              </w:rPr>
            </w:pPr>
            <w:r>
              <w:rPr>
                <w:i/>
              </w:rPr>
              <w:t>α</w:t>
            </w:r>
            <w:r>
              <w:rPr>
                <w:vertAlign w:val="subscript"/>
              </w:rPr>
              <w:t>st</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标准连接件拉力系数；</w:t>
            </w:r>
          </w:p>
        </w:tc>
      </w:tr>
      <w:tr>
        <w:tblPrEx>
          <w:tblCellMar>
            <w:top w:w="0" w:type="dxa"/>
            <w:left w:w="108" w:type="dxa"/>
            <w:bottom w:w="0" w:type="dxa"/>
            <w:right w:w="108" w:type="dxa"/>
          </w:tblCellMar>
        </w:tblPrEx>
        <w:tc>
          <w:tcPr>
            <w:tcW w:w="996" w:type="dxa"/>
          </w:tcPr>
          <w:p>
            <w:pPr>
              <w:jc w:val="right"/>
              <w:rPr>
                <w:i/>
              </w:rPr>
            </w:pPr>
            <w:r>
              <w:rPr>
                <w:i/>
              </w:rPr>
              <w:t>α</w:t>
            </w:r>
            <w:r>
              <w:rPr>
                <w:vertAlign w:val="subscript"/>
              </w:rPr>
              <w:t>sc</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开孔钢板组合剪力墙的含钢率；</w:t>
            </w:r>
          </w:p>
        </w:tc>
      </w:tr>
      <w:tr>
        <w:tblPrEx>
          <w:tblCellMar>
            <w:top w:w="0" w:type="dxa"/>
            <w:left w:w="108" w:type="dxa"/>
            <w:bottom w:w="0" w:type="dxa"/>
            <w:right w:w="108" w:type="dxa"/>
          </w:tblCellMar>
        </w:tblPrEx>
        <w:tc>
          <w:tcPr>
            <w:tcW w:w="996" w:type="dxa"/>
          </w:tcPr>
          <w:p>
            <w:pPr>
              <w:jc w:val="right"/>
              <w:rPr>
                <w:i/>
              </w:rPr>
            </w:pPr>
            <w:r>
              <w:rPr>
                <w:i/>
              </w:rPr>
              <w:t>θ</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开孔钢板组合剪力墙的套箍系数；</w:t>
            </w:r>
          </w:p>
        </w:tc>
      </w:tr>
      <w:tr>
        <w:tblPrEx>
          <w:tblCellMar>
            <w:top w:w="0" w:type="dxa"/>
            <w:left w:w="108" w:type="dxa"/>
            <w:bottom w:w="0" w:type="dxa"/>
            <w:right w:w="108" w:type="dxa"/>
          </w:tblCellMar>
        </w:tblPrEx>
        <w:tc>
          <w:tcPr>
            <w:tcW w:w="996" w:type="dxa"/>
          </w:tcPr>
          <w:p>
            <w:pPr>
              <w:jc w:val="right"/>
              <w:rPr>
                <w:i/>
              </w:rPr>
            </w:pPr>
            <w:r>
              <w:rPr>
                <w:i/>
              </w:rPr>
              <w:t>φ</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开孔钢板组合剪力墙轴心受压稳定系数；</w:t>
            </w:r>
          </w:p>
        </w:tc>
      </w:tr>
      <w:tr>
        <w:tblPrEx>
          <w:tblCellMar>
            <w:top w:w="0" w:type="dxa"/>
            <w:left w:w="108" w:type="dxa"/>
            <w:bottom w:w="0" w:type="dxa"/>
            <w:right w:w="108" w:type="dxa"/>
          </w:tblCellMar>
        </w:tblPrEx>
        <w:tc>
          <w:tcPr>
            <w:tcW w:w="996" w:type="dxa"/>
          </w:tcPr>
          <w:p>
            <w:pPr>
              <w:jc w:val="right"/>
              <w:rPr>
                <w:i/>
              </w:rPr>
            </w:pPr>
            <w:r>
              <w:rPr>
                <w:i/>
              </w:rPr>
              <w:t>Ψ</w:t>
            </w:r>
            <w:r>
              <w:rPr>
                <w:vertAlign w:val="subscript"/>
              </w:rPr>
              <w:t>st</w:t>
            </w:r>
          </w:p>
        </w:tc>
        <w:tc>
          <w:tcPr>
            <w:tcW w:w="736" w:type="dxa"/>
            <w:vAlign w:val="center"/>
          </w:tcPr>
          <w:p>
            <w:pPr>
              <w:ind w:firstLine="0" w:firstLineChars="0"/>
              <w:rPr>
                <w:rFonts w:hAnsi="Calibri" w:cs="Calibri" w:asciiTheme="minorHAnsi"/>
              </w:rPr>
            </w:pPr>
            <w:r>
              <w:t>——</w:t>
            </w:r>
          </w:p>
        </w:tc>
        <w:tc>
          <w:tcPr>
            <w:tcW w:w="7112" w:type="dxa"/>
            <w:vAlign w:val="center"/>
          </w:tcPr>
          <w:p>
            <w:pPr>
              <w:ind w:firstLine="0" w:firstLineChars="0"/>
              <w:rPr>
                <w:rFonts w:hAnsi="Calibri" w:cs="Calibri" w:asciiTheme="minorHAnsi"/>
              </w:rPr>
            </w:pPr>
            <w:r>
              <w:rPr>
                <w:rFonts w:hAnsi="Calibri" w:cs="Calibri" w:asciiTheme="minorHAnsi"/>
              </w:rPr>
              <w:t>考虑标准连接件间距影响的调整系数。</w:t>
            </w:r>
          </w:p>
        </w:tc>
      </w:tr>
    </w:tbl>
    <w:p>
      <w:pPr>
        <w:widowControl/>
        <w:rPr>
          <w:rFonts w:hAnsi="Calibri" w:cs="Calibri" w:asciiTheme="minorHAnsi"/>
        </w:rPr>
        <w:sectPr>
          <w:footerReference r:id="rId15" w:type="default"/>
          <w:pgSz w:w="11906" w:h="16838"/>
          <w:pgMar w:top="1474" w:right="1474" w:bottom="1474" w:left="1588" w:header="1418" w:footer="1134" w:gutter="0"/>
          <w:pgNumType w:start="1"/>
          <w:cols w:space="425" w:num="1"/>
          <w:formProt w:val="0"/>
          <w:docGrid w:type="lines" w:linePitch="312" w:charSpace="0"/>
        </w:sectPr>
      </w:pPr>
    </w:p>
    <w:p>
      <w:pPr>
        <w:pStyle w:val="2"/>
        <w:spacing w:before="156" w:after="156"/>
        <w:ind w:firstLine="643"/>
        <w:rPr>
          <w:rFonts w:hAnsi="Calibri" w:cs="Calibri" w:asciiTheme="minorHAnsi"/>
        </w:rPr>
      </w:pPr>
      <w:bookmarkStart w:id="11" w:name="_Toc532376141"/>
      <w:bookmarkStart w:id="12" w:name="_Toc36207143"/>
      <w:bookmarkStart w:id="13" w:name="_Toc21893"/>
      <w:r>
        <w:rPr>
          <w:rFonts w:hAnsi="Calibri" w:cs="Calibri" w:asciiTheme="minorHAnsi"/>
        </w:rPr>
        <w:t>基本规定</w:t>
      </w:r>
      <w:bookmarkEnd w:id="11"/>
      <w:bookmarkEnd w:id="12"/>
      <w:bookmarkEnd w:id="13"/>
    </w:p>
    <w:p>
      <w:pPr>
        <w:pStyle w:val="4"/>
        <w:keepNext w:val="0"/>
        <w:keepLines w:val="0"/>
        <w:ind w:left="0"/>
        <w:rPr>
          <w:rFonts w:hAnsi="Calibri" w:cs="Calibri" w:asciiTheme="minorHAnsi"/>
        </w:rPr>
      </w:pPr>
      <w:r>
        <w:rPr>
          <w:rFonts w:hAnsi="Calibri" w:cs="Calibri" w:asciiTheme="minorHAnsi"/>
        </w:rPr>
        <w:t>装配式开孔钢板组合剪力墙结构住宅建筑应遵循全寿命周期的可持续性原则，并应满足标准化设计、工厂化生产、装配化施工、一体化装修、信息化管理和智能化应用。</w:t>
      </w:r>
    </w:p>
    <w:p>
      <w:pPr>
        <w:pStyle w:val="74"/>
        <w:widowControl w:val="0"/>
        <w:ind w:firstLine="400"/>
      </w:pPr>
      <w:r>
        <w:t>【条文说明】规定装配式开孔钢板组合剪力墙结构住宅建筑应满足国家装配式建筑发展的要求。</w:t>
      </w:r>
    </w:p>
    <w:p>
      <w:pPr>
        <w:pStyle w:val="4"/>
        <w:keepNext w:val="0"/>
        <w:keepLines w:val="0"/>
        <w:ind w:left="0"/>
        <w:rPr>
          <w:rFonts w:hAnsi="Calibri" w:cs="Calibri" w:asciiTheme="minorHAnsi"/>
          <w:b/>
        </w:rPr>
      </w:pPr>
      <w:r>
        <w:rPr>
          <w:rFonts w:hAnsi="Calibri" w:cs="Calibri" w:asciiTheme="minorHAnsi"/>
        </w:rPr>
        <w:t>装配式开孔钢板组合剪力墙结构住宅建筑的结构系统、外围护系统、设备与管线系统和内装系统应进行集成设计，提高集成度、施工精度和效率。</w:t>
      </w:r>
    </w:p>
    <w:p>
      <w:pPr>
        <w:pStyle w:val="4"/>
        <w:keepNext w:val="0"/>
        <w:keepLines w:val="0"/>
        <w:ind w:left="0"/>
        <w:rPr>
          <w:rFonts w:hAnsi="Calibri" w:cs="Calibri" w:asciiTheme="minorHAnsi"/>
        </w:rPr>
      </w:pPr>
      <w:r>
        <w:rPr>
          <w:rFonts w:hAnsi="Calibri" w:cs="Calibri" w:asciiTheme="minorHAnsi"/>
        </w:rPr>
        <w:t>装配式开孔钢板组合剪力墙结构住宅建筑应按照通用化、模数化、标准化的要求，统筹设计、制造、运输、施工和运营维护，以少规格、多组合为原则实现建筑部品部件的系列化和住宅建筑的多样化。</w:t>
      </w:r>
    </w:p>
    <w:p>
      <w:pPr>
        <w:pStyle w:val="74"/>
        <w:widowControl w:val="0"/>
        <w:ind w:firstLine="400"/>
      </w:pPr>
      <w:r>
        <w:t>【条文说明】装配式开孔钢板组合剪力墙结构住宅应遵循模数协调和少规格、多组合的原则，在标准设计的基础上实现系列化和多样化。建筑的部品构件在工厂生产，现场装配，构件成本主要取决于材料数量和模具的重复率。重复率越高，规格越少，成本越低，质量也更容易保证。同时，在设计过程中，应统一协调建筑、结构、机电和内装各专业，采用适用的技术、工艺和设备，进行工厂化生产和装配化施工，保证产品和工程质量，提高劳动生产率。</w:t>
      </w:r>
    </w:p>
    <w:p>
      <w:pPr>
        <w:pStyle w:val="4"/>
        <w:keepNext w:val="0"/>
        <w:keepLines w:val="0"/>
        <w:ind w:left="0"/>
        <w:rPr>
          <w:rFonts w:hAnsi="Calibri" w:cs="Calibri" w:asciiTheme="minorHAnsi"/>
        </w:rPr>
      </w:pPr>
      <w:r>
        <w:rPr>
          <w:rFonts w:hAnsi="Calibri" w:cs="Calibri" w:asciiTheme="minorHAnsi"/>
        </w:rPr>
        <w:t>装配式开孔钢板组合剪力墙结构住宅应发挥钢结构的优势，提升建筑的安全性和居住品质。</w:t>
      </w:r>
    </w:p>
    <w:p>
      <w:pPr>
        <w:pStyle w:val="74"/>
        <w:widowControl w:val="0"/>
        <w:ind w:firstLine="400"/>
      </w:pPr>
      <w:r>
        <w:t>【条文说明】相对于其它结构体系，钢结构具有更高的强度和更好的变形能力，提高了建筑的抗震能力；同时，钢结构更容易做到大跨度、大空间，为住宅全寿命周期的改造提供了更多样的选择，从而提升建筑的居住品质。</w:t>
      </w:r>
    </w:p>
    <w:p>
      <w:pPr>
        <w:pStyle w:val="4"/>
        <w:keepNext w:val="0"/>
        <w:keepLines w:val="0"/>
        <w:ind w:left="0"/>
        <w:rPr>
          <w:rFonts w:hAnsi="Calibri" w:cs="Calibri" w:asciiTheme="minorHAnsi"/>
        </w:rPr>
      </w:pPr>
      <w:r>
        <w:rPr>
          <w:rFonts w:hAnsi="Calibri" w:cs="Calibri" w:asciiTheme="minorHAnsi"/>
        </w:rPr>
        <w:t>装配式开孔钢板组合剪力墙结构住宅的建设应因地制宜采用适用的节能环保材料和技术，积极利用可再生能源和清洁能源，减少环境污染，提升建筑整体性能和品质。</w:t>
      </w:r>
    </w:p>
    <w:p>
      <w:pPr>
        <w:pStyle w:val="74"/>
        <w:widowControl w:val="0"/>
        <w:ind w:firstLine="400"/>
      </w:pPr>
      <w:r>
        <w:t>【条文说明】国家标准GB 51232基础上增加能源利用和环境污染方面的要求。</w:t>
      </w:r>
    </w:p>
    <w:p>
      <w:pPr>
        <w:pStyle w:val="4"/>
        <w:keepNext w:val="0"/>
        <w:keepLines w:val="0"/>
        <w:ind w:left="0"/>
        <w:rPr>
          <w:rFonts w:hAnsi="Calibri" w:cs="Calibri" w:asciiTheme="minorHAnsi"/>
        </w:rPr>
      </w:pPr>
      <w:r>
        <w:rPr>
          <w:rFonts w:hAnsi="Calibri" w:cs="Calibri" w:asciiTheme="minorHAnsi"/>
        </w:rPr>
        <w:t>装配式开孔钢板组合剪力墙结构住宅部品构件的连接应安全可靠、方便安装，宜便于拆卸更换。</w:t>
      </w:r>
    </w:p>
    <w:p>
      <w:pPr>
        <w:pStyle w:val="74"/>
        <w:widowControl w:val="0"/>
        <w:ind w:firstLine="400"/>
      </w:pPr>
      <w:r>
        <w:t>【条文说明】装配式建筑的部品构件在工厂生产，质量是有保证的。房屋质量的关键在于现场的装配，部品构件的连接安全可靠才能保证整个建筑的安全，方便的连接方式更能保证装配的可行性和装配的质量。</w:t>
      </w:r>
    </w:p>
    <w:p>
      <w:pPr>
        <w:pStyle w:val="4"/>
        <w:keepNext w:val="0"/>
        <w:keepLines w:val="0"/>
        <w:ind w:left="0"/>
        <w:rPr>
          <w:rFonts w:hAnsi="Calibri" w:cs="Calibri" w:asciiTheme="minorHAnsi"/>
          <w:szCs w:val="24"/>
        </w:rPr>
      </w:pPr>
      <w:r>
        <w:rPr>
          <w:rFonts w:hAnsi="Calibri" w:cs="Calibri" w:asciiTheme="minorHAnsi"/>
        </w:rPr>
        <w:t>装配式开孔钢板组合剪力墙结构住宅的外围护系统、不便更换的管线系统的使用年限宜与主体结构相协调</w:t>
      </w:r>
      <w:r>
        <w:rPr>
          <w:rFonts w:hAnsi="Calibri" w:cs="Calibri" w:asciiTheme="minorHAnsi"/>
          <w:szCs w:val="24"/>
        </w:rPr>
        <w:t>。</w:t>
      </w:r>
    </w:p>
    <w:p>
      <w:pPr>
        <w:pStyle w:val="74"/>
        <w:widowControl w:val="0"/>
        <w:ind w:firstLine="400"/>
      </w:pPr>
      <w:r>
        <w:t>【条文说明】规定不便更换部品部件的使用年限。</w:t>
      </w:r>
    </w:p>
    <w:p>
      <w:pPr>
        <w:pStyle w:val="4"/>
        <w:keepNext w:val="0"/>
        <w:keepLines w:val="0"/>
        <w:tabs>
          <w:tab w:val="clear" w:pos="0"/>
        </w:tabs>
        <w:ind w:left="0"/>
        <w:rPr>
          <w:rFonts w:hAnsi="Calibri" w:cs="Calibri" w:asciiTheme="minorHAnsi"/>
        </w:rPr>
      </w:pPr>
      <w:r>
        <w:rPr>
          <w:rFonts w:hAnsi="Calibri" w:cs="Calibri" w:asciiTheme="minorHAnsi"/>
        </w:rPr>
        <w:t>装配式开孔钢板组合剪力墙结构住宅设计宜遵循建筑全寿命周期中使用与维护的便利性原则，设备管线与结构系统宜分离，管线系统的检查、维修和更换不应影响结构性能。</w:t>
      </w:r>
    </w:p>
    <w:p>
      <w:pPr>
        <w:pStyle w:val="74"/>
        <w:widowControl w:val="0"/>
        <w:ind w:firstLine="400"/>
      </w:pPr>
      <w:r>
        <w:t>【条文说明】机电管线与结构系统具有不同的使用年限，在建筑全生命周期中，管线的维修、更换是难以避免的。长期以来，我国大量的建筑都采用管线暗埋在结构系统内的方式，管线老化、渗漏，造成大量的质量问题，甚至影响主体结构的安全，很多最后都不得不还是采用明装管线的方式处理。为了维修、更换方便，也为了不影响结构系统的安全，管线与结构系统宜采用分离的方式。</w:t>
      </w:r>
    </w:p>
    <w:p>
      <w:pPr>
        <w:pStyle w:val="4"/>
        <w:keepNext w:val="0"/>
        <w:keepLines w:val="0"/>
        <w:ind w:left="0"/>
        <w:rPr>
          <w:rFonts w:hAnsi="Calibri" w:cs="Calibri" w:asciiTheme="minorHAnsi"/>
        </w:rPr>
      </w:pPr>
      <w:r>
        <w:rPr>
          <w:rFonts w:hAnsi="Calibri" w:cs="Calibri" w:asciiTheme="minorHAnsi"/>
        </w:rPr>
        <w:t>装配式开孔钢板组合剪力墙结构住宅应采用装配式装修，并宜选用具有通用性和互换性的内装部品。</w:t>
      </w:r>
    </w:p>
    <w:p>
      <w:pPr>
        <w:pStyle w:val="74"/>
        <w:widowControl w:val="0"/>
        <w:ind w:firstLine="400"/>
      </w:pPr>
      <w:r>
        <w:t>【条文说明】沿用现行国家标准。</w:t>
      </w:r>
    </w:p>
    <w:p>
      <w:pPr>
        <w:pStyle w:val="4"/>
        <w:keepNext w:val="0"/>
        <w:keepLines w:val="0"/>
        <w:ind w:left="0"/>
      </w:pPr>
      <w:r>
        <w:t>装配式开孔钢板组合剪力墙结构住宅应采用建筑信息化模型（BIM）技术，实现建筑全寿命周期和全专业的信息化管理。</w:t>
      </w:r>
    </w:p>
    <w:p>
      <w:pPr>
        <w:pStyle w:val="74"/>
        <w:widowControl w:val="0"/>
        <w:ind w:firstLine="400"/>
      </w:pPr>
      <w:r>
        <w:t>【条文说明】现行国家标准GB/T 51232基础上符合渝建2019-436号文要求，将国标的“宜”改为“应”。</w:t>
      </w:r>
    </w:p>
    <w:p>
      <w:pPr>
        <w:pStyle w:val="4"/>
        <w:keepNext w:val="0"/>
        <w:keepLines w:val="0"/>
        <w:ind w:left="0"/>
        <w:rPr>
          <w:rFonts w:hAnsi="Calibri" w:cs="Calibri" w:asciiTheme="minorHAnsi"/>
          <w:szCs w:val="24"/>
        </w:rPr>
      </w:pPr>
      <w:r>
        <w:rPr>
          <w:rFonts w:hAnsi="Calibri" w:cs="Calibri" w:asciiTheme="minorHAnsi"/>
        </w:rPr>
        <w:t>装配式开孔钢板组合剪力墙结构住宅宜采用大数据、人工智能及物联网等技术，提升建筑使用的安全、便利、舒适和环保等性能</w:t>
      </w:r>
      <w:r>
        <w:rPr>
          <w:rFonts w:hAnsi="Calibri" w:cs="Calibri" w:asciiTheme="minorHAnsi"/>
          <w:szCs w:val="24"/>
        </w:rPr>
        <w:t>。</w:t>
      </w:r>
    </w:p>
    <w:p>
      <w:pPr>
        <w:pStyle w:val="74"/>
        <w:widowControl w:val="0"/>
        <w:ind w:firstLine="400"/>
      </w:pPr>
      <w:r>
        <w:t>【条文说明】现行国家标准GB 51232基础上结合符合渝建2019-436号文要求，提出大数据、人工智能及物联网应用方面的要求。</w:t>
      </w:r>
    </w:p>
    <w:p>
      <w:pPr>
        <w:pStyle w:val="4"/>
        <w:keepNext w:val="0"/>
        <w:keepLines w:val="0"/>
        <w:ind w:left="0"/>
        <w:rPr>
          <w:rFonts w:hAnsi="Calibri" w:cs="Calibri" w:asciiTheme="minorHAnsi"/>
        </w:rPr>
      </w:pPr>
      <w:r>
        <w:rPr>
          <w:rFonts w:hAnsi="Calibri" w:cs="Calibri" w:asciiTheme="minorHAnsi"/>
        </w:rPr>
        <w:t>装配式开孔钢板组合剪力墙结构住宅建筑防火、防腐、节能、隔声应符合国家现行相关标准的规定，满足可靠性、安全性、舒适性和耐久性的要求。</w:t>
      </w:r>
    </w:p>
    <w:p>
      <w:pPr>
        <w:pStyle w:val="74"/>
        <w:widowControl w:val="0"/>
        <w:ind w:firstLine="400"/>
        <w:rPr>
          <w:rFonts w:hAnsi="Calibri" w:cs="Calibri" w:asciiTheme="minorHAnsi"/>
        </w:rPr>
      </w:pPr>
      <w:r>
        <w:rPr>
          <w:rFonts w:hAnsi="Calibri" w:cs="Calibri" w:asciiTheme="minorHAnsi"/>
        </w:rPr>
        <w:t>【条文说明】沿用现行国家标准，增加住宅建筑对节能和隔声的要求。</w:t>
      </w:r>
    </w:p>
    <w:p>
      <w:pPr>
        <w:pStyle w:val="74"/>
        <w:ind w:firstLine="400"/>
        <w:rPr>
          <w:rFonts w:hAnsi="Calibri" w:cs="Calibri" w:asciiTheme="minorHAnsi"/>
        </w:rPr>
      </w:pPr>
    </w:p>
    <w:p>
      <w:pPr>
        <w:pStyle w:val="74"/>
        <w:ind w:firstLine="400"/>
        <w:rPr>
          <w:rFonts w:hAnsi="Calibri" w:cs="Calibri" w:asciiTheme="minorHAnsi"/>
        </w:rPr>
        <w:sectPr>
          <w:pgSz w:w="11906" w:h="16838"/>
          <w:pgMar w:top="1474" w:right="1474" w:bottom="1474" w:left="1588" w:header="1418" w:footer="1134" w:gutter="0"/>
          <w:cols w:space="425" w:num="1"/>
          <w:formProt w:val="0"/>
          <w:docGrid w:type="lines" w:linePitch="312" w:charSpace="0"/>
        </w:sectPr>
      </w:pPr>
    </w:p>
    <w:p>
      <w:pPr>
        <w:pStyle w:val="2"/>
        <w:spacing w:before="156" w:after="156"/>
        <w:ind w:firstLine="643"/>
        <w:rPr>
          <w:rFonts w:hAnsi="Calibri" w:cs="Calibri" w:asciiTheme="minorHAnsi"/>
        </w:rPr>
      </w:pPr>
      <w:bookmarkStart w:id="14" w:name="_Toc10711"/>
      <w:bookmarkStart w:id="15" w:name="_Toc36207144"/>
      <w:bookmarkStart w:id="16" w:name="_Toc36207153"/>
      <w:r>
        <w:rPr>
          <w:rFonts w:hAnsi="Calibri" w:cs="Calibri" w:asciiTheme="minorHAnsi"/>
        </w:rPr>
        <w:t>建筑设计</w:t>
      </w:r>
      <w:bookmarkEnd w:id="14"/>
      <w:bookmarkEnd w:id="15"/>
    </w:p>
    <w:p>
      <w:pPr>
        <w:pStyle w:val="3"/>
        <w:keepNext w:val="0"/>
        <w:keepLines w:val="0"/>
        <w:ind w:firstLine="482"/>
        <w:rPr>
          <w:rFonts w:hAnsi="Calibri" w:cs="Calibri" w:asciiTheme="minorHAnsi"/>
        </w:rPr>
      </w:pPr>
      <w:bookmarkStart w:id="17" w:name="_Toc31539"/>
      <w:bookmarkStart w:id="18" w:name="_Toc36207145"/>
      <w:r>
        <w:rPr>
          <w:rFonts w:hAnsi="Calibri" w:cs="Calibri" w:asciiTheme="minorHAnsi"/>
        </w:rPr>
        <w:t>一般规定</w:t>
      </w:r>
      <w:bookmarkEnd w:id="17"/>
      <w:bookmarkEnd w:id="18"/>
    </w:p>
    <w:p>
      <w:pPr>
        <w:pStyle w:val="4"/>
        <w:keepNext w:val="0"/>
        <w:keepLines w:val="0"/>
        <w:ind w:left="0"/>
        <w:rPr>
          <w:rFonts w:hAnsi="Calibri" w:cs="Calibri" w:asciiTheme="minorHAnsi"/>
        </w:rPr>
      </w:pPr>
      <w:r>
        <w:rPr>
          <w:rFonts w:hAnsi="Calibri" w:cs="Calibri" w:asciiTheme="minorHAnsi"/>
        </w:rPr>
        <w:t>装配式开孔钢板组合剪力墙住宅建筑设计应符合国家现行标准对建筑适用性能、安全性能、环境性能、经济性能、耐久性能等的综合规定。</w:t>
      </w:r>
    </w:p>
    <w:p>
      <w:pPr>
        <w:pStyle w:val="74"/>
        <w:widowControl w:val="0"/>
        <w:ind w:firstLine="400"/>
      </w:pPr>
      <w:r>
        <w:t>【条文说明】引用现行国家标准《装配式钢结构建筑技术标准》GB/T 51232。</w:t>
      </w:r>
    </w:p>
    <w:p>
      <w:pPr>
        <w:pStyle w:val="4"/>
        <w:keepNext w:val="0"/>
        <w:keepLines w:val="0"/>
        <w:ind w:left="0"/>
        <w:rPr>
          <w:rFonts w:hAnsi="Calibri" w:cs="Calibri" w:asciiTheme="minorHAnsi"/>
        </w:rPr>
      </w:pPr>
      <w:r>
        <w:rPr>
          <w:rFonts w:hAnsi="Calibri" w:cs="Calibri" w:asciiTheme="minorHAnsi"/>
        </w:rPr>
        <w:t>装配式开孔钢板组合剪力墙住宅建筑设计应满足以下要求：</w:t>
      </w:r>
    </w:p>
    <w:p>
      <w:pPr>
        <w:ind w:firstLine="316" w:firstLineChars="150"/>
      </w:pPr>
      <w:r>
        <w:rPr>
          <w:b/>
          <w:bCs/>
          <w:szCs w:val="32"/>
        </w:rPr>
        <w:t>1</w:t>
      </w:r>
      <w:r>
        <w:t>在前期规划与方案设计阶段，各专业应充分配合，结合预制构件的生产运输条件和工程经济性，安排好装配式开孔钢板组合剪力墙结构实施的技术路线、实施部位及规模，以文字结合必要图示的形式在设计说明中专篇阐述。</w:t>
      </w:r>
    </w:p>
    <w:p>
      <w:pPr>
        <w:ind w:firstLine="316" w:firstLineChars="150"/>
        <w:rPr>
          <w:rFonts w:hAnsi="Calibri" w:cs="Calibri" w:asciiTheme="minorHAnsi"/>
        </w:rPr>
      </w:pPr>
      <w:r>
        <w:rPr>
          <w:b/>
        </w:rPr>
        <w:t>2</w:t>
      </w:r>
      <w:r>
        <w:rPr>
          <w:rFonts w:hAnsi="Calibri" w:cs="Calibri" w:asciiTheme="minorHAnsi"/>
        </w:rPr>
        <w:t>在总平面设计中应考虑预制构件及设备的运输通道、堆放以及起重设备所需空间。</w:t>
      </w:r>
    </w:p>
    <w:p>
      <w:pPr>
        <w:pStyle w:val="74"/>
        <w:widowControl w:val="0"/>
        <w:ind w:firstLine="400"/>
      </w:pPr>
      <w:r>
        <w:t>【条文说明】装配式住宅是一个系统工程，相比传统的建造方式而言，预制构件的约束条件更多更复杂，比如生产条件、运输条件、模板的重复利用、构配件之间的连接和关联，以及为精装预留条件等方面，均要求在构件生产前得到明确的设计，否则会造成预制构件不能安装，连接节点达不到设计要求、无法运输、成本过高以及后期剔凿等问题。因此本条要求相关专业及合作团队需要提早介入，密切配合。</w:t>
      </w:r>
    </w:p>
    <w:p>
      <w:pPr>
        <w:pStyle w:val="4"/>
        <w:keepNext w:val="0"/>
        <w:keepLines w:val="0"/>
        <w:ind w:left="0"/>
        <w:rPr>
          <w:rFonts w:hAnsi="Calibri" w:cs="Calibri" w:asciiTheme="minorHAnsi"/>
        </w:rPr>
      </w:pPr>
      <w:r>
        <w:rPr>
          <w:rFonts w:hAnsi="Calibri" w:cs="Calibri" w:asciiTheme="minorHAnsi"/>
        </w:rPr>
        <w:t>选用的各类建筑部品的规格与类型、室内装修系统等，应符合建造标准和建筑功能的需求，并适应建筑主要功能空间的灵活可变性。</w:t>
      </w:r>
    </w:p>
    <w:p>
      <w:pPr>
        <w:pStyle w:val="74"/>
        <w:widowControl w:val="0"/>
        <w:ind w:firstLine="400"/>
      </w:pPr>
      <w:r>
        <w:t>【条文说明】建筑功能是住宅建筑的基本要求，建造标准是与当前社会建筑工程水平相适应的基本质量要求。装配式住宅首先也应该满足建造标准和建筑功能的基本需求。满足安全、实用、经济、舒适的要求。</w:t>
      </w:r>
    </w:p>
    <w:p>
      <w:pPr>
        <w:pStyle w:val="4"/>
        <w:keepNext w:val="0"/>
        <w:keepLines w:val="0"/>
        <w:ind w:left="0"/>
        <w:rPr>
          <w:rFonts w:hAnsi="Calibri" w:cs="Calibri" w:asciiTheme="minorHAnsi"/>
        </w:rPr>
      </w:pPr>
      <w:r>
        <w:rPr>
          <w:rFonts w:hAnsi="Calibri" w:cs="Calibri" w:asciiTheme="minorHAnsi"/>
        </w:rPr>
        <w:t>装配式开孔钢板组合剪力墙住宅建筑设计应采用模块化、标准化设计，将结构系统、外围护系统、设备与管线</w:t>
      </w:r>
      <w:r>
        <w:rPr>
          <w:rFonts w:hint="eastAsia" w:hAnsi="Calibri" w:cs="Calibri" w:asciiTheme="minorHAnsi"/>
        </w:rPr>
        <w:t>系</w:t>
      </w:r>
      <w:r>
        <w:rPr>
          <w:rFonts w:hAnsi="Calibri" w:cs="Calibri" w:asciiTheme="minorHAnsi"/>
        </w:rPr>
        <w:t>统和内装系统进行集成。</w:t>
      </w:r>
    </w:p>
    <w:p>
      <w:pPr>
        <w:pStyle w:val="74"/>
        <w:widowControl w:val="0"/>
        <w:ind w:firstLine="400"/>
      </w:pPr>
      <w:r>
        <w:t>【条文说明】引用现行国家标准《装配式钢结构建筑技术标准》GB/T 51232。</w:t>
      </w:r>
    </w:p>
    <w:p>
      <w:pPr>
        <w:pStyle w:val="4"/>
        <w:keepNext w:val="0"/>
        <w:keepLines w:val="0"/>
        <w:ind w:left="0"/>
        <w:rPr>
          <w:rFonts w:hAnsi="Calibri" w:cs="Calibri" w:asciiTheme="minorHAnsi"/>
        </w:rPr>
      </w:pPr>
      <w:r>
        <w:rPr>
          <w:rFonts w:hAnsi="Calibri" w:cs="Calibri" w:asciiTheme="minorHAnsi"/>
        </w:rPr>
        <w:t>装配式开孔钢板组合剪力墙住宅应按照集成设计原则，将建筑、结构、给水排水、暖通空调、电气、智能化和燃气、装饰装修等专业之间进行协同设计。</w:t>
      </w:r>
    </w:p>
    <w:p>
      <w:pPr>
        <w:pStyle w:val="74"/>
        <w:widowControl w:val="0"/>
        <w:ind w:firstLine="400"/>
      </w:pPr>
      <w:r>
        <w:t>【条文说明】在现行国家标准《装配式钢结构建筑技术标准》GB/T 51232条文基础上增加了“装饰装修”专业。装配式全装修住宅是装配式住宅发展的趋势，有必要将装饰装修专业在建筑工程设计中进行集成。</w:t>
      </w:r>
    </w:p>
    <w:p>
      <w:pPr>
        <w:pStyle w:val="4"/>
        <w:keepNext w:val="0"/>
        <w:keepLines w:val="0"/>
        <w:ind w:left="0"/>
        <w:rPr>
          <w:rFonts w:hAnsi="Calibri" w:cs="Calibri" w:asciiTheme="minorHAnsi"/>
        </w:rPr>
      </w:pPr>
      <w:r>
        <w:rPr>
          <w:rFonts w:hAnsi="Calibri" w:cs="Calibri" w:asciiTheme="minorHAnsi"/>
        </w:rPr>
        <w:t>建筑体型、平面布置及构造应符合抗震设计的原则和要求。</w:t>
      </w:r>
    </w:p>
    <w:p>
      <w:pPr>
        <w:pStyle w:val="74"/>
        <w:widowControl w:val="0"/>
        <w:ind w:firstLine="400"/>
      </w:pPr>
      <w:r>
        <w:t>【条文说明】住宅户型设计除了要考虑使用功能要求、当地气候条件、人民生活习惯，也要结合本地区建筑抗震设防要求，考虑工程的实施性、经济性及结构合理性。</w:t>
      </w:r>
    </w:p>
    <w:p>
      <w:pPr>
        <w:pStyle w:val="4"/>
        <w:keepNext w:val="0"/>
        <w:keepLines w:val="0"/>
        <w:ind w:left="0"/>
        <w:rPr>
          <w:rFonts w:hAnsi="Calibri" w:cs="Calibri" w:asciiTheme="minorHAnsi"/>
        </w:rPr>
      </w:pPr>
      <w:r>
        <w:rPr>
          <w:rFonts w:hAnsi="Calibri" w:cs="Calibri" w:asciiTheme="minorHAnsi"/>
        </w:rPr>
        <w:t>装配式开孔钢板组合剪力墙住宅的耐火等级应符合现行国家标准《建筑设计防火规范》</w:t>
      </w:r>
      <w:r>
        <w:t>GB 50016</w:t>
      </w:r>
      <w:r>
        <w:rPr>
          <w:rFonts w:hAnsi="Calibri" w:cs="Calibri" w:asciiTheme="minorHAnsi"/>
        </w:rPr>
        <w:t>和《高层民用建筑钢结构技术规程》</w:t>
      </w:r>
      <w:r>
        <w:t>JGJ 99</w:t>
      </w:r>
      <w:r>
        <w:rPr>
          <w:rFonts w:hAnsi="Calibri" w:cs="Calibri" w:asciiTheme="minorHAnsi"/>
        </w:rPr>
        <w:t>有关规定。</w:t>
      </w:r>
    </w:p>
    <w:p>
      <w:pPr>
        <w:pStyle w:val="3"/>
        <w:keepNext w:val="0"/>
        <w:keepLines w:val="0"/>
        <w:ind w:firstLine="482"/>
        <w:rPr>
          <w:rFonts w:hAnsi="Calibri" w:cs="Calibri" w:asciiTheme="minorHAnsi"/>
        </w:rPr>
      </w:pPr>
      <w:bookmarkStart w:id="19" w:name="_Toc36207147"/>
      <w:bookmarkStart w:id="20" w:name="_Toc8919"/>
      <w:r>
        <w:rPr>
          <w:rFonts w:hAnsi="Calibri" w:cs="Calibri" w:asciiTheme="minorHAnsi"/>
        </w:rPr>
        <w:t>绿色建筑与建筑节能</w:t>
      </w:r>
      <w:bookmarkEnd w:id="19"/>
      <w:bookmarkEnd w:id="20"/>
    </w:p>
    <w:p>
      <w:pPr>
        <w:pStyle w:val="4"/>
        <w:keepNext w:val="0"/>
        <w:keepLines w:val="0"/>
        <w:ind w:left="0"/>
        <w:rPr>
          <w:rFonts w:hAnsi="Calibri" w:cs="Calibri" w:asciiTheme="minorHAnsi"/>
        </w:rPr>
      </w:pPr>
      <w:r>
        <w:rPr>
          <w:rFonts w:hAnsi="Calibri" w:cs="Calibri" w:asciiTheme="minorHAnsi"/>
        </w:rPr>
        <w:t>装配式开孔钢板组合剪力墙住宅的设计应符合国家和重庆市现行的绿色建筑和建筑节能设计、评价标准。</w:t>
      </w:r>
    </w:p>
    <w:p>
      <w:pPr>
        <w:pStyle w:val="4"/>
        <w:keepNext w:val="0"/>
        <w:keepLines w:val="0"/>
        <w:ind w:left="0"/>
        <w:rPr>
          <w:rFonts w:hAnsi="Calibri" w:cs="Calibri" w:asciiTheme="minorHAnsi"/>
        </w:rPr>
      </w:pPr>
      <w:r>
        <w:rPr>
          <w:rFonts w:hAnsi="Calibri" w:cs="Calibri" w:asciiTheme="minorHAnsi"/>
        </w:rPr>
        <w:t>前期规划及方案设计文件中应确定工程项目执行的节能（绿色建筑）标准，拟达到的绿色建筑设计标识等级、拟采取的节能（绿色建筑）措施，以指导下阶段设计。</w:t>
      </w:r>
    </w:p>
    <w:p>
      <w:pPr>
        <w:pStyle w:val="4"/>
        <w:keepNext w:val="0"/>
        <w:keepLines w:val="0"/>
        <w:ind w:left="0"/>
        <w:rPr>
          <w:rFonts w:hAnsi="Calibri" w:cs="Calibri" w:asciiTheme="minorHAnsi"/>
        </w:rPr>
      </w:pPr>
      <w:r>
        <w:rPr>
          <w:rFonts w:hAnsi="Calibri" w:cs="Calibri" w:asciiTheme="minorHAnsi"/>
        </w:rPr>
        <w:t>围护结构保温宜采用轻质高效的保温材料，安装时保温材料重量含水率应符合相关国家标准的规定。穿过保温层的连接件，应采取与结构耐久性相当的防腐蚀措施，如采用铁件连接时，宜优先选用不锈钢材料并应考虑连接铁件对保温性能的影响。</w:t>
      </w:r>
    </w:p>
    <w:p>
      <w:pPr>
        <w:pStyle w:val="74"/>
        <w:widowControl w:val="0"/>
        <w:ind w:firstLine="400"/>
      </w:pPr>
      <w:r>
        <w:t>【条文说明】装配式建筑通常采用外保温系统，即从外至内为装饰保护层——保温层——基层墙体。采用轻质和高效保温层，保证保温层的连续性可减少连接构件、避免冷桥，对于保温效果影响显著。对于必须设置的穿透保温层连接件应采用可靠的防腐、防结露措施，避免其对保温层的破坏。</w:t>
      </w:r>
    </w:p>
    <w:p>
      <w:pPr>
        <w:pStyle w:val="4"/>
        <w:keepNext w:val="0"/>
        <w:keepLines w:val="0"/>
        <w:ind w:left="0"/>
        <w:rPr>
          <w:rFonts w:hAnsi="Calibri" w:cs="Calibri" w:asciiTheme="minorHAnsi"/>
        </w:rPr>
      </w:pPr>
      <w:r>
        <w:rPr>
          <w:rFonts w:hAnsi="Calibri" w:cs="Calibri" w:asciiTheme="minorHAnsi"/>
        </w:rPr>
        <w:t>穿透保温材料的连接件，宜采用非金属材料。当采用钢筋（丝）桁架来连接内外两层混凝土板时，应考虑连接钢筋所产生的热桥对复合外墙板传热系数的影响。</w:t>
      </w:r>
    </w:p>
    <w:p>
      <w:pPr>
        <w:pStyle w:val="74"/>
        <w:widowControl w:val="0"/>
        <w:ind w:firstLine="400"/>
      </w:pPr>
      <w:r>
        <w:t>【条文说明】预制混凝土外墙保温材料与混凝土墙板的连接，其连接件应注意避免形成热桥，宜采用玻璃纤维、PE等非金属材料。当保温层的混凝土保护层由于自重过大等问题，根据设计需要采用钢筋（丝）桁架等金属材料与钢筋混凝土墙板连接时，在热工计算时，预制外墙平均传热系数应乘以1.2～1.3的修正系数，确保整体的热工性能不受削减。对于规模生产的预制件，应要求厂家提供主体传热系数的测试数据。</w:t>
      </w:r>
    </w:p>
    <w:p>
      <w:pPr>
        <w:pStyle w:val="4"/>
        <w:keepNext w:val="0"/>
        <w:keepLines w:val="0"/>
        <w:ind w:left="0"/>
        <w:rPr>
          <w:rFonts w:hAnsi="Calibri" w:cs="Calibri" w:asciiTheme="minorHAnsi"/>
        </w:rPr>
      </w:pPr>
      <w:r>
        <w:rPr>
          <w:rFonts w:hAnsi="Calibri" w:cs="Calibri" w:asciiTheme="minorHAnsi"/>
        </w:rPr>
        <w:t>预制保温一体化外墙与梁、板、柱相连时，其连接处宜采取措施，保持墙体保温的连续性。</w:t>
      </w:r>
    </w:p>
    <w:p>
      <w:pPr>
        <w:pStyle w:val="74"/>
        <w:widowControl w:val="0"/>
        <w:ind w:firstLine="400"/>
      </w:pPr>
      <w:r>
        <w:t>【条文说明】由于预制外墙为保温一体化的建筑构件，当其与梁、板、柱等其它建筑构件连接时，连接处作为确保外保温连续的关键环节，宜采取处理措施，避免此处形成冷桥，产生内部结露，抵消预制外墙的保温性能。</w:t>
      </w:r>
    </w:p>
    <w:p>
      <w:pPr>
        <w:pStyle w:val="3"/>
        <w:keepNext w:val="0"/>
        <w:keepLines w:val="0"/>
        <w:ind w:firstLine="482"/>
        <w:rPr>
          <w:rFonts w:hAnsi="Calibri" w:cs="Calibri" w:asciiTheme="minorHAnsi"/>
        </w:rPr>
      </w:pPr>
      <w:bookmarkStart w:id="21" w:name="_Toc1197"/>
      <w:bookmarkStart w:id="22" w:name="_Toc36207148"/>
      <w:r>
        <w:rPr>
          <w:rFonts w:hAnsi="Calibri" w:cs="Calibri" w:asciiTheme="minorHAnsi"/>
        </w:rPr>
        <w:t>平面设计</w:t>
      </w:r>
      <w:bookmarkEnd w:id="21"/>
      <w:bookmarkEnd w:id="22"/>
    </w:p>
    <w:p>
      <w:pPr>
        <w:pStyle w:val="4"/>
        <w:keepNext w:val="0"/>
        <w:keepLines w:val="0"/>
        <w:ind w:left="0"/>
        <w:rPr>
          <w:rFonts w:hAnsi="Calibri" w:cs="Calibri" w:asciiTheme="minorHAnsi"/>
        </w:rPr>
      </w:pPr>
      <w:r>
        <w:rPr>
          <w:rFonts w:hAnsi="Calibri" w:cs="Calibri" w:asciiTheme="minorHAnsi"/>
        </w:rPr>
        <w:t>平面设计应重视其规则性对结构安全及经济合理性的影响，宜选用规则的形体，考虑承重墙体上下对应贯通，避免形体过大的凹凸变化。</w:t>
      </w:r>
    </w:p>
    <w:p>
      <w:pPr>
        <w:pStyle w:val="4"/>
        <w:keepNext w:val="0"/>
        <w:keepLines w:val="0"/>
        <w:ind w:left="0"/>
        <w:rPr>
          <w:rFonts w:hAnsi="Calibri" w:cs="Calibri" w:asciiTheme="minorHAnsi"/>
        </w:rPr>
      </w:pPr>
      <w:r>
        <w:rPr>
          <w:rFonts w:hAnsi="Calibri" w:cs="Calibri" w:asciiTheme="minorHAnsi"/>
        </w:rPr>
        <w:t>门窗洞口应规整有序，洞口之间的间距尺寸宜与所选用的墙体部品尺寸协调。</w:t>
      </w:r>
    </w:p>
    <w:p>
      <w:pPr>
        <w:pStyle w:val="74"/>
        <w:widowControl w:val="0"/>
        <w:ind w:firstLine="400"/>
      </w:pPr>
      <w:r>
        <w:t>【条文说明】洞口之间过小的间距不利于预制墙板的制作安装，往往需要单独制作非标构件，既增加建造成本又降低施工效率，因此洞口之间的间距尺寸宜与所选用的墙体部品尺寸一致或成倍数关系。</w:t>
      </w:r>
    </w:p>
    <w:p>
      <w:pPr>
        <w:pStyle w:val="4"/>
        <w:keepNext w:val="0"/>
        <w:keepLines w:val="0"/>
        <w:ind w:left="0"/>
        <w:rPr>
          <w:rFonts w:hAnsi="Calibri" w:cs="Calibri" w:asciiTheme="minorHAnsi"/>
        </w:rPr>
      </w:pPr>
      <w:r>
        <w:rPr>
          <w:rFonts w:hAnsi="Calibri" w:cs="Calibri" w:asciiTheme="minorHAnsi"/>
        </w:rPr>
        <w:t>宜选用大空间的平面布局方式，合理布置承重墙及管井位置，满足住宅空间的灵活性、可变性。公共空间及户内各功能空间分区明确、布局合理。</w:t>
      </w:r>
    </w:p>
    <w:p>
      <w:pPr>
        <w:pStyle w:val="74"/>
        <w:widowControl w:val="0"/>
        <w:ind w:firstLine="400"/>
      </w:pPr>
      <w:r>
        <w:t>【条文说明】住宅建筑一般设计使用年限为50年，国外已经出现了百年住宅，因此为住宅使用提供适当的灵活性，满足居住需求的变化尤为重要。已有的经验是采用大空间的平面，合理布置承重墙及管井、厨卫的位置。在装配式住宅中采用这种平面布局方式不但有利于结构布置，而且可减少预制楼板的类型。但设计时也应适当考虑实际的构件运输及吊装能力，以免构件尺寸过大导致运输困难。</w:t>
      </w:r>
    </w:p>
    <w:p>
      <w:pPr>
        <w:pStyle w:val="4"/>
        <w:keepNext w:val="0"/>
        <w:keepLines w:val="0"/>
        <w:ind w:left="0"/>
        <w:rPr>
          <w:rFonts w:hAnsi="Calibri" w:cs="Calibri" w:asciiTheme="minorHAnsi"/>
        </w:rPr>
      </w:pPr>
      <w:r>
        <w:rPr>
          <w:rFonts w:hAnsi="Calibri" w:cs="Calibri" w:asciiTheme="minorHAnsi"/>
        </w:rPr>
        <w:t>应考虑设备管线与结构体系的关系，竖向管线等宜集中设置，水平布线的排布及走位应降低各工种之间的交叉及干扰。</w:t>
      </w:r>
    </w:p>
    <w:p>
      <w:pPr>
        <w:pStyle w:val="74"/>
        <w:widowControl w:val="0"/>
        <w:ind w:firstLine="400"/>
      </w:pPr>
      <w:r>
        <w:t>【条文说明】在实际的装配式住宅工程中，设备管线布置与结构的关系非常重要。在进行平面设计时，要对公共管井进行管线综合设计，还要做好户内、户外的管线综合，避免因管井位置、管线布线、点位设置等的不合理，造成管线浪费与施工困难。</w:t>
      </w:r>
    </w:p>
    <w:p>
      <w:pPr>
        <w:pStyle w:val="4"/>
        <w:keepNext w:val="0"/>
        <w:keepLines w:val="0"/>
        <w:ind w:left="0"/>
        <w:rPr>
          <w:rFonts w:hAnsi="Calibri" w:cs="Calibri" w:asciiTheme="minorHAnsi"/>
        </w:rPr>
      </w:pPr>
      <w:r>
        <w:rPr>
          <w:rFonts w:hAnsi="Calibri" w:cs="Calibri" w:asciiTheme="minorHAnsi"/>
        </w:rPr>
        <w:t>应考虑卫生间、厨房的设备和家具产品及其管线布置的合理性，宜采用标准化的整体卫浴及整体厨房。</w:t>
      </w:r>
    </w:p>
    <w:p>
      <w:pPr>
        <w:pStyle w:val="3"/>
        <w:keepNext w:val="0"/>
        <w:keepLines w:val="0"/>
        <w:ind w:firstLine="482"/>
        <w:rPr>
          <w:rFonts w:hAnsi="Calibri" w:cs="Calibri" w:asciiTheme="minorHAnsi"/>
        </w:rPr>
      </w:pPr>
      <w:bookmarkStart w:id="23" w:name="_Toc4375"/>
      <w:bookmarkStart w:id="24" w:name="_Toc36207149"/>
      <w:r>
        <w:rPr>
          <w:rFonts w:hAnsi="Calibri" w:cs="Calibri" w:asciiTheme="minorHAnsi"/>
        </w:rPr>
        <w:t>立面设计</w:t>
      </w:r>
      <w:bookmarkEnd w:id="23"/>
      <w:bookmarkEnd w:id="24"/>
    </w:p>
    <w:p>
      <w:pPr>
        <w:pStyle w:val="4"/>
        <w:keepNext w:val="0"/>
        <w:keepLines w:val="0"/>
        <w:ind w:left="0"/>
      </w:pPr>
      <w:r>
        <w:t>装配式开孔钢板组合剪力墙住宅的立面设计应最大限度采用预制构件，并依据少规格、多组合的原则尽量减少立面预制构件的种类。设计应符合下列规定：</w:t>
      </w:r>
    </w:p>
    <w:p>
      <w:pPr>
        <w:ind w:firstLine="316" w:firstLineChars="150"/>
      </w:pPr>
      <w:r>
        <w:rPr>
          <w:b/>
          <w:bCs/>
        </w:rPr>
        <w:t>1</w:t>
      </w:r>
      <w:r>
        <w:t>外墙、阳台板、空调板、外窗、遮阳设施及装饰等部品、部件应进行标准化设计。</w:t>
      </w:r>
    </w:p>
    <w:p>
      <w:pPr>
        <w:ind w:firstLine="316" w:firstLineChars="150"/>
      </w:pPr>
      <w:r>
        <w:rPr>
          <w:b/>
          <w:bCs/>
        </w:rPr>
        <w:t>2</w:t>
      </w:r>
      <w:r>
        <w:t>应通过建筑体量、材质机理、色彩等变化，并结合地域和城乡特色，形成丰富多样的立面效果。</w:t>
      </w:r>
    </w:p>
    <w:p>
      <w:pPr>
        <w:ind w:firstLine="316" w:firstLineChars="150"/>
      </w:pPr>
      <w:r>
        <w:rPr>
          <w:b/>
          <w:bCs/>
        </w:rPr>
        <w:t>3</w:t>
      </w:r>
      <w:r>
        <w:t>立面设计应采取标准化与多样性相结合的方法，并应根据外围护系统特点进行立面深化设计。</w:t>
      </w:r>
    </w:p>
    <w:p>
      <w:pPr>
        <w:pStyle w:val="74"/>
        <w:widowControl w:val="0"/>
        <w:ind w:firstLine="400"/>
      </w:pPr>
      <w:r>
        <w:t>【条文说明】装配式钢结构建筑为了建筑构件的互换性与通用性，便于工厂化统一加工，立面造型不宜做过多的变化。为了丰富建筑</w:t>
      </w:r>
      <w:r>
        <w:rPr>
          <w:rFonts w:hint="eastAsia"/>
        </w:rPr>
        <w:t>立</w:t>
      </w:r>
      <w:r>
        <w:t>面效果，可以通过外墙、阳台板、空调板、外窗、遮阳设施等非主体受力构件的组合形成韵律，通过建筑体量、材质机理、色彩等变化来达到目的。空调板宜与外阳台合并设置，并应考虑冷凝水的集中排放，还应满足绿色建筑的相关要求。</w:t>
      </w:r>
    </w:p>
    <w:p>
      <w:pPr>
        <w:pStyle w:val="4"/>
        <w:keepNext w:val="0"/>
        <w:keepLines w:val="0"/>
        <w:ind w:left="0"/>
        <w:rPr>
          <w:rFonts w:hAnsi="Calibri" w:cs="Calibri" w:asciiTheme="minorHAnsi"/>
        </w:rPr>
      </w:pPr>
      <w:r>
        <w:rPr>
          <w:rFonts w:hAnsi="Calibri" w:cs="Calibri" w:asciiTheme="minorHAnsi"/>
        </w:rPr>
        <w:t>装配式开孔钢板组合剪力墙住宅应根据建筑功能、主体结构、设备管线、部品部件安装及装饰装修等要求，确定合理的层高及净高尺寸。</w:t>
      </w:r>
    </w:p>
    <w:p>
      <w:pPr>
        <w:pStyle w:val="4"/>
        <w:keepNext w:val="0"/>
        <w:keepLines w:val="0"/>
        <w:ind w:left="0"/>
        <w:rPr>
          <w:rFonts w:hAnsi="Calibri" w:cs="Calibri" w:asciiTheme="minorHAnsi"/>
        </w:rPr>
      </w:pPr>
      <w:r>
        <w:rPr>
          <w:rFonts w:hAnsi="Calibri" w:cs="Calibri" w:asciiTheme="minorHAnsi"/>
        </w:rPr>
        <w:t>预制外墙板的饰面宜采用装饰混凝土、涂料、面砖、石材等耐久、不易污染的材料，考虑外立面分格、饰面颜色与材料质感等细部设计要求，并体现装配式建筑立面造型的特点。</w:t>
      </w:r>
    </w:p>
    <w:p>
      <w:pPr>
        <w:pStyle w:val="74"/>
        <w:widowControl w:val="0"/>
        <w:ind w:firstLine="400"/>
      </w:pPr>
      <w:r>
        <w:t>【条文说明】外墙外饰面宜在构件厂完成，其质量、效果和耐久性都要大大优于现场湿作业，并大大减少了人工劳动。设计要充分利用工厂化预制的条件，选用合适的建筑表现材料，设计好墙面分格、饰面色彩、质感及光影等细部，充分利用混凝土预制的条件体现其特点。</w:t>
      </w:r>
    </w:p>
    <w:p>
      <w:pPr>
        <w:pStyle w:val="4"/>
        <w:keepNext w:val="0"/>
        <w:keepLines w:val="0"/>
        <w:ind w:left="0"/>
        <w:rPr>
          <w:rFonts w:hAnsi="Calibri" w:cs="Calibri" w:asciiTheme="minorHAnsi"/>
        </w:rPr>
      </w:pPr>
      <w:r>
        <w:rPr>
          <w:rFonts w:hAnsi="Calibri" w:cs="Calibri" w:asciiTheme="minorHAnsi"/>
        </w:rPr>
        <w:t>预制外墙使用装饰混凝土饰面时，应在构件生产前先确认构件样品的表面颜色、质感、图案等要求。</w:t>
      </w:r>
    </w:p>
    <w:p>
      <w:pPr>
        <w:pStyle w:val="3"/>
        <w:keepNext w:val="0"/>
        <w:keepLines w:val="0"/>
        <w:ind w:firstLine="482"/>
        <w:rPr>
          <w:rFonts w:hAnsi="Calibri" w:cs="Calibri" w:asciiTheme="minorHAnsi"/>
        </w:rPr>
      </w:pPr>
      <w:bookmarkStart w:id="25" w:name="_Toc24964"/>
      <w:bookmarkStart w:id="26" w:name="_Toc36207150"/>
      <w:r>
        <w:rPr>
          <w:rFonts w:hAnsi="Calibri" w:cs="Calibri" w:asciiTheme="minorHAnsi"/>
        </w:rPr>
        <w:t>墙体系统设计</w:t>
      </w:r>
      <w:bookmarkEnd w:id="25"/>
      <w:bookmarkEnd w:id="26"/>
    </w:p>
    <w:p>
      <w:pPr>
        <w:pStyle w:val="4"/>
        <w:keepNext w:val="0"/>
        <w:keepLines w:val="0"/>
        <w:ind w:left="0"/>
        <w:rPr>
          <w:rFonts w:hAnsi="Calibri" w:cs="Calibri" w:asciiTheme="minorHAnsi"/>
        </w:rPr>
      </w:pPr>
      <w:r>
        <w:rPr>
          <w:rFonts w:hAnsi="Calibri" w:cs="Calibri" w:asciiTheme="minorHAnsi"/>
        </w:rPr>
        <w:t>墙体系统宜采用建筑、结构、保温、装饰等一体化协同设计，宜选用一体化产品，并应与内装部品、设备与管线协调，预留安装条件。</w:t>
      </w:r>
    </w:p>
    <w:p>
      <w:pPr>
        <w:pStyle w:val="4"/>
        <w:keepNext w:val="0"/>
        <w:keepLines w:val="0"/>
        <w:ind w:left="0"/>
        <w:rPr>
          <w:rFonts w:hAnsi="Calibri" w:cs="Calibri" w:asciiTheme="minorHAnsi"/>
          <w:szCs w:val="21"/>
        </w:rPr>
      </w:pPr>
      <w:r>
        <w:rPr>
          <w:rFonts w:hAnsi="Calibri" w:cs="Calibri" w:asciiTheme="minorHAnsi"/>
        </w:rPr>
        <w:t>墙体应优先采用绿色节能环保的轻质保温材料，</w:t>
      </w:r>
      <w:r>
        <w:rPr>
          <w:rFonts w:hAnsi="Calibri" w:cs="Calibri" w:asciiTheme="minorHAnsi"/>
          <w:szCs w:val="21"/>
        </w:rPr>
        <w:t>并满足生产、运输和安装的要求。墙体性能应包括下列内容：</w:t>
      </w:r>
    </w:p>
    <w:p>
      <w:pPr>
        <w:ind w:firstLine="316" w:firstLineChars="150"/>
        <w:rPr>
          <w:rFonts w:hAnsi="Calibri" w:cs="Calibri" w:asciiTheme="minorHAnsi"/>
        </w:rPr>
      </w:pPr>
      <w:r>
        <w:rPr>
          <w:b/>
          <w:bCs/>
        </w:rPr>
        <w:t>1</w:t>
      </w:r>
      <w:r>
        <w:rPr>
          <w:rFonts w:hAnsi="Calibri" w:cs="Calibri" w:asciiTheme="minorHAnsi"/>
        </w:rPr>
        <w:t>安全性要求：抗风性能、抗震性能、耐撞击性能、防火性能。</w:t>
      </w:r>
    </w:p>
    <w:p>
      <w:pPr>
        <w:ind w:firstLine="316" w:firstLineChars="150"/>
        <w:rPr>
          <w:rFonts w:hAnsi="Calibri" w:cs="Calibri" w:asciiTheme="minorHAnsi"/>
        </w:rPr>
      </w:pPr>
      <w:r>
        <w:rPr>
          <w:b/>
          <w:bCs/>
        </w:rPr>
        <w:t>2</w:t>
      </w:r>
      <w:r>
        <w:rPr>
          <w:rFonts w:hAnsi="Calibri" w:cs="Calibri" w:asciiTheme="minorHAnsi"/>
        </w:rPr>
        <w:t>功能性要求：水密性能、气密性能、隔声性能、热工性能。</w:t>
      </w:r>
    </w:p>
    <w:p>
      <w:pPr>
        <w:ind w:firstLine="316" w:firstLineChars="150"/>
        <w:rPr>
          <w:rFonts w:hAnsi="Calibri" w:cs="Calibri" w:asciiTheme="minorHAnsi"/>
        </w:rPr>
      </w:pPr>
      <w:r>
        <w:rPr>
          <w:b/>
          <w:bCs/>
        </w:rPr>
        <w:t>3</w:t>
      </w:r>
      <w:r>
        <w:rPr>
          <w:rFonts w:hAnsi="Calibri" w:cs="Calibri" w:asciiTheme="minorHAnsi"/>
        </w:rPr>
        <w:t>耐久性要求。</w:t>
      </w:r>
    </w:p>
    <w:p>
      <w:pPr>
        <w:pStyle w:val="74"/>
        <w:widowControl w:val="0"/>
        <w:ind w:firstLine="400"/>
      </w:pPr>
      <w:r>
        <w:t>【条文说明】墙体的材料种类多种多样，施工工艺和节点构造也不尽相同，在集成设计时，墙体应根据不同种材料特性、施工工艺和节点构造特点明确具体的性能要求。</w:t>
      </w:r>
    </w:p>
    <w:p>
      <w:pPr>
        <w:pStyle w:val="74"/>
        <w:widowControl w:val="0"/>
        <w:ind w:firstLine="402"/>
      </w:pPr>
      <w:r>
        <w:rPr>
          <w:b/>
          <w:bCs/>
        </w:rPr>
        <w:t>1</w:t>
      </w:r>
      <w:r>
        <w:t xml:space="preserve"> 安全性能要求是指关系到人身安全的关键性能指标，对于装配式钢结构建筑围护体系来说，应该符合基本的承载力要求以及防火要求，具体可以分为抗风压性能、抗震性能、耐撞击性能以及防火性能四个方面。抗风性能中风荷载标准值应符合现行国家标准《建筑结构荷载规范》GB 50009中有关围护系统风荷载的规定，并可参照现行国家标准《建筑幕墙》GB/T 21086的有关规定。抗震性能应满足现行行业标准《非结构构件抗震设计规范》JGJ 339中的有关规定。耐撞击性能应根据围护系统的构成确定。对于幕墙体系，可参照现行国家标准《建筑幕墙》GB/T 21086中的有关规定。墙体的室内外两侧装饰面，尤其是类似薄抹灰做法的外墙保温饰面层，还应明确抗冲击性能要求。</w:t>
      </w:r>
    </w:p>
    <w:p>
      <w:pPr>
        <w:pStyle w:val="74"/>
        <w:widowControl w:val="0"/>
        <w:ind w:firstLine="400"/>
      </w:pPr>
      <w:r>
        <w:t>防火性能应符合现行国家标准《建筑设计防火规范》GB 50016中的有关规定，试验检测应符合现行国家标准《建筑构件耐火试验方法第1部分：通用要求》GB/T 9978.1、《建筑构件耐火试验方法第8部分：非承重垂直分隔构件的特殊要求》GB/T 9978.8的有关规定。</w:t>
      </w:r>
    </w:p>
    <w:p>
      <w:pPr>
        <w:pStyle w:val="74"/>
        <w:widowControl w:val="0"/>
        <w:ind w:firstLine="402"/>
      </w:pPr>
      <w:r>
        <w:rPr>
          <w:b/>
          <w:bCs/>
        </w:rPr>
        <w:t>2</w:t>
      </w:r>
      <w:r>
        <w:t xml:space="preserve"> 功能性要求是指作为围护体系应该满足居住使用功能的基本要求。具体包括水密性能、气密性能、隔声性能、热工性能四个方面。水密性能包括围护系统中基层板的不透水性和基层板接缝处的止水、排水性能。对于建筑幕墙系统，应参照现行国家标准《建筑幕墙》GB/T 21086中的有关规定。气密性能主要为基层板接缝处的空气渗透性能。对于建筑幕墙系统，应参照现行国家标准《建筑幕墙》GB/T 21086中的有关规定。隔声性能应符合现行国家标准《民用建筑隔声设计规范》GB 50118的有关规定。热工性能应符合现行国家标准《公共建筑节能设计标准》GB 50189、《四川省居住建筑节能设计标准》DBJ51/5027的有关规定。</w:t>
      </w:r>
    </w:p>
    <w:p>
      <w:pPr>
        <w:pStyle w:val="74"/>
        <w:widowControl w:val="0"/>
        <w:ind w:firstLine="402"/>
      </w:pPr>
      <w:r>
        <w:rPr>
          <w:b/>
          <w:bCs/>
        </w:rPr>
        <w:t>3</w:t>
      </w:r>
      <w:r>
        <w:t xml:space="preserve"> 耐久性要求直接影响到围护系统使用寿命和维护保养时限。不同的材料，对耐久性的性能指标要求也不尽相同。经耐久性试验后，还需对相关力学性能进行复测，以保证使用的稳定性。对于水泥基类的基层板，应符合现行行业标准《外墙用非承重纤维增强水泥板》JG/T 396的有关规定，满足抗冻性、耐热雨性能、耐热水性能以及耐干湿性能的要求。</w:t>
      </w:r>
    </w:p>
    <w:p>
      <w:pPr>
        <w:pStyle w:val="4"/>
        <w:keepNext w:val="0"/>
        <w:keepLines w:val="0"/>
        <w:ind w:left="0"/>
        <w:rPr>
          <w:rFonts w:hAnsi="Calibri" w:cs="Calibri" w:asciiTheme="minorHAnsi"/>
          <w:b/>
        </w:rPr>
      </w:pPr>
      <w:r>
        <w:rPr>
          <w:rFonts w:hAnsi="Calibri" w:cs="Calibri" w:asciiTheme="minorHAnsi"/>
        </w:rPr>
        <w:t>墙体设计应包括下列内容：</w:t>
      </w:r>
    </w:p>
    <w:p>
      <w:pPr>
        <w:ind w:firstLine="316" w:firstLineChars="150"/>
        <w:rPr>
          <w:rFonts w:hAnsi="Calibri" w:cs="Calibri" w:asciiTheme="minorHAnsi"/>
        </w:rPr>
      </w:pPr>
      <w:r>
        <w:rPr>
          <w:b/>
          <w:bCs/>
        </w:rPr>
        <w:t>1</w:t>
      </w:r>
      <w:r>
        <w:rPr>
          <w:rFonts w:hAnsi="Calibri" w:cs="Calibri" w:asciiTheme="minorHAnsi"/>
        </w:rPr>
        <w:t>墙体的性能要求。</w:t>
      </w:r>
    </w:p>
    <w:p>
      <w:pPr>
        <w:ind w:firstLine="316" w:firstLineChars="150"/>
        <w:rPr>
          <w:rFonts w:hAnsi="Calibri" w:cs="Calibri" w:asciiTheme="minorHAnsi"/>
        </w:rPr>
      </w:pPr>
      <w:r>
        <w:rPr>
          <w:b/>
          <w:bCs/>
        </w:rPr>
        <w:t>2</w:t>
      </w:r>
      <w:r>
        <w:rPr>
          <w:rFonts w:hAnsi="Calibri" w:cs="Calibri" w:asciiTheme="minorHAnsi"/>
        </w:rPr>
        <w:t>墙体的模数协调要求。</w:t>
      </w:r>
    </w:p>
    <w:p>
      <w:pPr>
        <w:ind w:firstLine="316" w:firstLineChars="150"/>
        <w:rPr>
          <w:rFonts w:hAnsi="Calibri" w:cs="Calibri" w:asciiTheme="minorHAnsi"/>
        </w:rPr>
      </w:pPr>
      <w:r>
        <w:rPr>
          <w:b/>
          <w:bCs/>
        </w:rPr>
        <w:t>3</w:t>
      </w:r>
      <w:r>
        <w:rPr>
          <w:rFonts w:hAnsi="Calibri" w:cs="Calibri" w:asciiTheme="minorHAnsi"/>
        </w:rPr>
        <w:t>墙体的支承结构、面板结构及构造。</w:t>
      </w:r>
    </w:p>
    <w:p>
      <w:pPr>
        <w:ind w:firstLine="316" w:firstLineChars="150"/>
        <w:rPr>
          <w:rFonts w:hAnsi="Calibri" w:cs="Calibri" w:asciiTheme="minorHAnsi"/>
        </w:rPr>
      </w:pPr>
      <w:r>
        <w:rPr>
          <w:b/>
          <w:bCs/>
        </w:rPr>
        <w:t>4</w:t>
      </w:r>
      <w:r>
        <w:rPr>
          <w:rFonts w:hAnsi="Calibri" w:cs="Calibri" w:asciiTheme="minorHAnsi"/>
        </w:rPr>
        <w:t>阳台、空调板、装饰件等连接构造节点。</w:t>
      </w:r>
    </w:p>
    <w:p>
      <w:pPr>
        <w:ind w:firstLine="316" w:firstLineChars="150"/>
        <w:rPr>
          <w:rFonts w:hAnsi="Calibri" w:cs="Calibri" w:asciiTheme="minorHAnsi"/>
        </w:rPr>
      </w:pPr>
      <w:r>
        <w:rPr>
          <w:b/>
          <w:bCs/>
        </w:rPr>
        <w:t>5</w:t>
      </w:r>
      <w:r>
        <w:rPr>
          <w:rFonts w:hAnsi="Calibri" w:cs="Calibri" w:asciiTheme="minorHAnsi"/>
        </w:rPr>
        <w:t>墙体的连接、接缝及门窗洞口等部位的构造节点。</w:t>
      </w:r>
    </w:p>
    <w:p>
      <w:pPr>
        <w:pStyle w:val="74"/>
        <w:widowControl w:val="0"/>
        <w:ind w:firstLine="400"/>
      </w:pPr>
      <w:r>
        <w:t>【条文说明】</w:t>
      </w:r>
    </w:p>
    <w:p>
      <w:pPr>
        <w:pStyle w:val="74"/>
        <w:widowControl w:val="0"/>
        <w:ind w:firstLine="402"/>
      </w:pPr>
      <w:r>
        <w:rPr>
          <w:b/>
          <w:bCs/>
        </w:rPr>
        <w:t>1</w:t>
      </w:r>
      <w:r>
        <w:t xml:space="preserve"> 墙体的性能要求，主要为安全性、功能性和耐久性等。</w:t>
      </w:r>
    </w:p>
    <w:p>
      <w:pPr>
        <w:pStyle w:val="74"/>
        <w:widowControl w:val="0"/>
        <w:ind w:firstLine="402"/>
      </w:pPr>
      <w:r>
        <w:rPr>
          <w:b/>
          <w:bCs/>
        </w:rPr>
        <w:t>2</w:t>
      </w:r>
      <w:r>
        <w:t xml:space="preserve"> 墙体的模数协调包括：尺寸规格、轴线分布、门窗位置和洞口尺寸等，设计应标准化，兼顾其经济性，同时还应考虑墙体的制作工艺、运输及施工安装的可行性。</w:t>
      </w:r>
    </w:p>
    <w:p>
      <w:pPr>
        <w:pStyle w:val="74"/>
        <w:widowControl w:val="0"/>
        <w:ind w:firstLine="402"/>
      </w:pPr>
      <w:r>
        <w:rPr>
          <w:b/>
          <w:bCs/>
        </w:rPr>
        <w:t>3</w:t>
      </w:r>
      <w:r>
        <w:t xml:space="preserve"> 墙体与主体结构的支承要求，以及墙体上放置重物的加强措施。</w:t>
      </w:r>
    </w:p>
    <w:p>
      <w:pPr>
        <w:pStyle w:val="74"/>
        <w:widowControl w:val="0"/>
        <w:ind w:firstLine="402"/>
      </w:pPr>
      <w:r>
        <w:rPr>
          <w:b/>
          <w:bCs/>
        </w:rPr>
        <w:t>4</w:t>
      </w:r>
      <w:r>
        <w:t xml:space="preserve"> 阳台、空调室外及室内机、遮阳装置、空调板、雨蓬板、外飘窗、太阳能设施、雨水收集装置及绿化设施等重要附属设施的连接节点。</w:t>
      </w:r>
    </w:p>
    <w:p>
      <w:pPr>
        <w:pStyle w:val="74"/>
        <w:widowControl w:val="0"/>
        <w:ind w:firstLine="402"/>
      </w:pPr>
      <w:r>
        <w:rPr>
          <w:b/>
          <w:bCs/>
        </w:rPr>
        <w:t>5</w:t>
      </w:r>
      <w:r>
        <w:t xml:space="preserve"> 墙体的连接、接缝及门窗洞口等部位的构造节点是影响墙体整体性能的关键点。</w:t>
      </w:r>
    </w:p>
    <w:p>
      <w:pPr>
        <w:pStyle w:val="4"/>
        <w:keepNext w:val="0"/>
        <w:keepLines w:val="0"/>
        <w:ind w:left="0"/>
        <w:rPr>
          <w:rFonts w:hAnsi="Calibri" w:cs="Calibri" w:asciiTheme="minorHAnsi"/>
        </w:rPr>
      </w:pPr>
      <w:r>
        <w:rPr>
          <w:rFonts w:hAnsi="Calibri" w:cs="Calibri" w:asciiTheme="minorHAnsi"/>
        </w:rPr>
        <w:t>墙体应具有足够的强度、刚度和稳定性，并应与主体结构可靠连接，应进行整体及连接节点验算。</w:t>
      </w:r>
    </w:p>
    <w:p>
      <w:pPr>
        <w:pStyle w:val="4"/>
        <w:keepNext w:val="0"/>
        <w:keepLines w:val="0"/>
        <w:ind w:left="0"/>
      </w:pPr>
      <w:r>
        <w:t>装配式开孔钢板组合剪力墙住宅应根据设防烈度、使用要求等选用合适的围护系统。在50年重现期的风荷载或多遇地震作用下，外墙板不得因主体结构的弹性层间位移而发生塑性变形、板面开裂、零件脱落等损坏；当采用轻质墙板时，层间位移角1/300时，墙板不得出现任何损坏；层间位移角1/200时，墙板在接缝处可以出现可以修补的裂缝；层间位移角1/50时，墙板不得断裂和脱落。</w:t>
      </w:r>
    </w:p>
    <w:p>
      <w:pPr>
        <w:pStyle w:val="74"/>
        <w:widowControl w:val="0"/>
        <w:ind w:firstLine="400"/>
      </w:pPr>
      <w:r>
        <w:t>【条文说明】该条参考现行国家标准《装配式钢结构建筑技术标准》GB/T 51232和现行行业标准《轻型钢结构住宅技术规程》JGJ 209的基本规定，对墙板的性能作出定量要求。</w:t>
      </w:r>
    </w:p>
    <w:p>
      <w:pPr>
        <w:pStyle w:val="4"/>
        <w:keepNext w:val="0"/>
        <w:keepLines w:val="0"/>
        <w:ind w:left="0"/>
        <w:rPr>
          <w:rFonts w:hAnsi="Calibri" w:cs="Calibri" w:asciiTheme="minorHAnsi"/>
        </w:rPr>
      </w:pPr>
      <w:r>
        <w:rPr>
          <w:rFonts w:hAnsi="Calibri" w:cs="Calibri" w:asciiTheme="minorHAnsi"/>
        </w:rPr>
        <w:t>外门窗应采用在工厂生产的标准化系列部品，应与墙体部品可靠连接，接缝的气密性、水密性和保温性能标准不应低于外门窗的相关性能。</w:t>
      </w:r>
    </w:p>
    <w:p>
      <w:pPr>
        <w:pStyle w:val="74"/>
        <w:widowControl w:val="0"/>
        <w:ind w:firstLine="400"/>
      </w:pPr>
      <w:r>
        <w:t>【条文说明】采用在工厂生产的门窗配套系列部品可以有效避免施工误差，提高安装的精度，保证外围护系统具有良好的气密性能；标准化的门窗系列部品要求在同一建筑的外门窗宜能协同互换。外门窗宜采用集成化门窗配套系列部品。</w:t>
      </w:r>
    </w:p>
    <w:p>
      <w:pPr>
        <w:pStyle w:val="4"/>
        <w:keepNext w:val="0"/>
        <w:keepLines w:val="0"/>
        <w:ind w:left="0"/>
      </w:pPr>
      <w:r>
        <w:t>预制外墙中的外门窗宜采用企口、预埋附框或预埋件等方法固定，外门窗可采用预装法或后装法施工；采用预装法时，外门窗框应在工厂与预制外墙整体成型；采用后装法时，门窗洞口应在工厂预制定型，其尺寸偏差宜控制在±2mm以内，外门窗应按此误差缩尺加工并做到精确安装，预制外墙的门窗洞口应设置预埋件。</w:t>
      </w:r>
    </w:p>
    <w:p>
      <w:pPr>
        <w:pStyle w:val="74"/>
        <w:widowControl w:val="0"/>
        <w:rPr>
          <w:sz w:val="21"/>
          <w:szCs w:val="22"/>
        </w:rPr>
      </w:pPr>
      <w:r>
        <w:rPr>
          <w:sz w:val="21"/>
          <w:szCs w:val="22"/>
        </w:rPr>
        <w:t>【条文说明】外门窗宜安装在预制有窗附框的外墙板部品上。外门窗附框应在工厂制作，并宜在进入工程现场前与外墙构件连接为一个整体。</w:t>
      </w:r>
    </w:p>
    <w:p>
      <w:pPr>
        <w:pStyle w:val="4"/>
        <w:keepNext w:val="0"/>
        <w:keepLines w:val="0"/>
        <w:ind w:left="0"/>
        <w:rPr>
          <w:rFonts w:hAnsi="Calibri" w:cs="Calibri" w:asciiTheme="minorHAnsi"/>
        </w:rPr>
      </w:pPr>
      <w:r>
        <w:rPr>
          <w:rFonts w:hAnsi="Calibri" w:cs="Calibri" w:asciiTheme="minorHAnsi"/>
        </w:rPr>
        <w:t>外墙应根据不同的建筑类型及结构形式选择适宜的类型，外墙板可采用内嵌式、外挂式、嵌挂结合三种形式，并宜分层悬挂或承托。外墙系统可选用下列类型：</w:t>
      </w:r>
    </w:p>
    <w:p>
      <w:pPr>
        <w:ind w:firstLine="316" w:firstLineChars="150"/>
        <w:rPr>
          <w:rFonts w:hAnsi="Calibri" w:cs="Calibri" w:asciiTheme="minorHAnsi"/>
          <w:szCs w:val="24"/>
        </w:rPr>
      </w:pPr>
      <w:r>
        <w:rPr>
          <w:b/>
          <w:bCs/>
        </w:rPr>
        <w:t>1</w:t>
      </w:r>
      <w:r>
        <w:rPr>
          <w:rFonts w:hAnsi="Calibri" w:cs="Calibri" w:asciiTheme="minorHAnsi"/>
        </w:rPr>
        <w:t>预制墙板类：</w:t>
      </w:r>
      <w:r>
        <w:rPr>
          <w:rFonts w:hAnsi="Calibri" w:cs="Calibri" w:asciiTheme="minorHAnsi"/>
          <w:szCs w:val="24"/>
        </w:rPr>
        <w:t>整板和条板</w:t>
      </w:r>
      <w:r>
        <w:rPr>
          <w:rFonts w:hAnsi="Calibri" w:cs="Calibri" w:asciiTheme="minorHAnsi"/>
        </w:rPr>
        <w:t>等</w:t>
      </w:r>
      <w:r>
        <w:rPr>
          <w:rFonts w:hAnsi="Calibri" w:cs="Calibri" w:asciiTheme="minorHAnsi"/>
          <w:szCs w:val="24"/>
        </w:rPr>
        <w:t>。</w:t>
      </w:r>
    </w:p>
    <w:p>
      <w:pPr>
        <w:ind w:firstLine="316" w:firstLineChars="150"/>
        <w:rPr>
          <w:rFonts w:hAnsi="Calibri" w:cs="Calibri" w:asciiTheme="minorHAnsi"/>
          <w:szCs w:val="24"/>
        </w:rPr>
      </w:pPr>
      <w:r>
        <w:rPr>
          <w:b/>
          <w:bCs/>
        </w:rPr>
        <w:t>2</w:t>
      </w:r>
      <w:r>
        <w:rPr>
          <w:rFonts w:hAnsi="Calibri" w:cs="Calibri" w:asciiTheme="minorHAnsi"/>
          <w:szCs w:val="24"/>
        </w:rPr>
        <w:t>现场组装骨架类：金属龙骨组合外墙</w:t>
      </w:r>
      <w:r>
        <w:rPr>
          <w:rFonts w:hAnsi="Calibri" w:cs="Calibri" w:asciiTheme="minorHAnsi"/>
        </w:rPr>
        <w:t>等</w:t>
      </w:r>
      <w:r>
        <w:rPr>
          <w:rFonts w:hAnsi="Calibri" w:cs="Calibri" w:asciiTheme="minorHAnsi"/>
          <w:szCs w:val="24"/>
        </w:rPr>
        <w:t>。</w:t>
      </w:r>
    </w:p>
    <w:p>
      <w:pPr>
        <w:ind w:firstLine="316" w:firstLineChars="150"/>
        <w:rPr>
          <w:rFonts w:hAnsi="Calibri" w:cs="Calibri" w:asciiTheme="minorHAnsi"/>
          <w:szCs w:val="24"/>
        </w:rPr>
      </w:pPr>
      <w:r>
        <w:rPr>
          <w:b/>
          <w:bCs/>
        </w:rPr>
        <w:t>3</w:t>
      </w:r>
      <w:r>
        <w:rPr>
          <w:rFonts w:hAnsi="Calibri" w:cs="Calibri" w:asciiTheme="minorHAnsi"/>
          <w:szCs w:val="24"/>
        </w:rPr>
        <w:t>建筑幕墙类：</w:t>
      </w:r>
      <w:r>
        <w:rPr>
          <w:rFonts w:hAnsi="Calibri" w:cs="Calibri" w:asciiTheme="minorHAnsi"/>
        </w:rPr>
        <w:t>单元式幕墙、构件式幕墙等。</w:t>
      </w:r>
    </w:p>
    <w:p>
      <w:pPr>
        <w:pStyle w:val="74"/>
        <w:widowControl w:val="0"/>
        <w:ind w:firstLine="400"/>
      </w:pPr>
      <w:r>
        <w:t>【条文说明】不同类型的外墙围护系统具有不同的特点，选择上除应与建筑类型及结构形式相适应外，还应优先选用轻质墙板部品。</w:t>
      </w:r>
    </w:p>
    <w:p>
      <w:pPr>
        <w:pStyle w:val="74"/>
        <w:widowControl w:val="0"/>
        <w:ind w:firstLine="400"/>
      </w:pPr>
      <w:r>
        <w:t>按照围护系统在施工现场有无骨架组装的情况，外墙可分为预制墙板类、现场组装骨架类、建筑幕墙类等。根据墙板部品的建筑立面特征，预制墙板类可细分为整板和条板，目前可参照现行行业标准《预制混凝土外墙挂板图集》16G333/16J110-2。整板包括：预制混凝土外挂墙板、拼装大板。混凝土外挂墙板以预制混凝土夹心保温外挂墙板为主，中间夹有保温层，室外侧表面自带涂装或饰面做法；拼装大板中支承骨架的加工与组装、面板布置、保温层设置均在工厂完成生产，施工现场仅需安装即可。条板包括：预制混凝土外墙板、蒸压加气混凝土板、复合夹芯条板。混凝土外墙挂板中混凝土可采用硅酸盐水泥、普通硅酸盐水泥等生产，也可采用轻集料混凝土，增强材料可采用金属骨架、钢筋、玻璃纤维、无机矿物纤维、有机合成纤维、纤维素纤维等，断面构造形式可为实心或空心。蒸压加气混凝土板是由蒸压加气混凝土制成，根据构造要求，内配置经防腐处理的不同数量钢筋网片。复合夹芯条板是由面板和保温夹芯层构成。条板可采用横条板或竖条板的安装方式。</w:t>
      </w:r>
    </w:p>
    <w:p>
      <w:pPr>
        <w:pStyle w:val="74"/>
        <w:widowControl w:val="0"/>
        <w:ind w:firstLine="400"/>
      </w:pPr>
      <w:r>
        <w:t>根据骨架的构造形式和材料特点，现场组装骨架类主流为金属龙骨组合外墙。</w:t>
      </w:r>
    </w:p>
    <w:p>
      <w:pPr>
        <w:pStyle w:val="74"/>
        <w:widowControl w:val="0"/>
        <w:ind w:firstLine="400"/>
      </w:pPr>
      <w:r>
        <w:t>根据主要支承结构形式，建筑幕墙类可细分为单元式幕墙、构件式幕墙等。</w:t>
      </w:r>
    </w:p>
    <w:p>
      <w:pPr>
        <w:pStyle w:val="4"/>
        <w:keepNext w:val="0"/>
        <w:keepLines w:val="0"/>
        <w:ind w:left="0"/>
        <w:rPr>
          <w:rFonts w:hAnsi="Calibri" w:cs="Calibri" w:asciiTheme="minorHAnsi"/>
        </w:rPr>
      </w:pPr>
      <w:r>
        <w:rPr>
          <w:rFonts w:hAnsi="Calibri" w:cs="Calibri" w:asciiTheme="minorHAnsi"/>
        </w:rPr>
        <w:t>外墙宜进行墙面整体防水，外墙板的接缝应符合下列规定：</w:t>
      </w:r>
    </w:p>
    <w:p>
      <w:pPr>
        <w:ind w:firstLine="316" w:firstLineChars="150"/>
        <w:rPr>
          <w:rFonts w:hAnsi="Calibri" w:cs="Calibri" w:asciiTheme="minorHAnsi"/>
        </w:rPr>
      </w:pPr>
      <w:r>
        <w:rPr>
          <w:b/>
          <w:bCs/>
        </w:rPr>
        <w:t>1</w:t>
      </w:r>
      <w:r>
        <w:rPr>
          <w:rFonts w:hAnsi="Calibri" w:cs="Calibri" w:asciiTheme="minorHAnsi"/>
        </w:rPr>
        <w:t>外墙板间或墙板与主体结构的板缝拼缝宽度及接缝材料，应根据外墙板材料、立面分格、结构层间位移、温度变形等综合因素确定，所选用的接缝材料及构造应满足防水、防渗、抗裂、耐久等要求；接缝材料应与外墙板具有相容性；在正常使用条件下，接缝处的弹性密封材料不应破坏。</w:t>
      </w:r>
    </w:p>
    <w:p>
      <w:pPr>
        <w:ind w:firstLine="316" w:firstLineChars="150"/>
        <w:rPr>
          <w:rFonts w:hAnsi="Calibri" w:cs="Calibri" w:asciiTheme="minorHAnsi"/>
        </w:rPr>
      </w:pPr>
      <w:r>
        <w:rPr>
          <w:b/>
          <w:bCs/>
        </w:rPr>
        <w:t>2</w:t>
      </w:r>
      <w:r>
        <w:rPr>
          <w:rFonts w:hAnsi="Calibri" w:cs="Calibri" w:asciiTheme="minorHAnsi"/>
        </w:rPr>
        <w:t>接缝处以及与主体结构的连接处应设置防止形成热桥的构造措施。</w:t>
      </w:r>
    </w:p>
    <w:p>
      <w:pPr>
        <w:ind w:firstLine="316" w:firstLineChars="150"/>
        <w:rPr>
          <w:rFonts w:hAnsi="Calibri" w:cs="Calibri" w:asciiTheme="minorHAnsi"/>
        </w:rPr>
      </w:pPr>
      <w:r>
        <w:rPr>
          <w:b/>
          <w:bCs/>
        </w:rPr>
        <w:t>3</w:t>
      </w:r>
      <w:r>
        <w:rPr>
          <w:rFonts w:hAnsi="Calibri" w:cs="Calibri" w:asciiTheme="minorHAnsi"/>
        </w:rPr>
        <w:t>竖缝宜采用平口或槽口构造，水平缝宜采用企口构造。</w:t>
      </w:r>
    </w:p>
    <w:p>
      <w:pPr>
        <w:ind w:firstLine="316" w:firstLineChars="150"/>
        <w:rPr>
          <w:rFonts w:hAnsi="Calibri" w:cs="Calibri" w:asciiTheme="minorHAnsi"/>
        </w:rPr>
      </w:pPr>
      <w:r>
        <w:rPr>
          <w:b/>
          <w:bCs/>
        </w:rPr>
        <w:t>4</w:t>
      </w:r>
      <w:r>
        <w:rPr>
          <w:rFonts w:hAnsi="Calibri" w:cs="Calibri" w:asciiTheme="minorHAnsi"/>
        </w:rPr>
        <w:t>当板缝空腔需设置导水管排水时，板缝内侧应增设密封构造。</w:t>
      </w:r>
    </w:p>
    <w:p>
      <w:pPr>
        <w:ind w:firstLine="316" w:firstLineChars="150"/>
        <w:rPr>
          <w:rFonts w:hAnsi="Calibri" w:cs="Calibri" w:asciiTheme="minorHAnsi"/>
        </w:rPr>
      </w:pPr>
      <w:r>
        <w:rPr>
          <w:b/>
          <w:bCs/>
        </w:rPr>
        <w:t>5</w:t>
      </w:r>
      <w:r>
        <w:rPr>
          <w:rFonts w:hAnsi="Calibri" w:cs="Calibri" w:asciiTheme="minorHAnsi"/>
        </w:rPr>
        <w:t>宜避免接缝跨越防火分区；当接缝跨越防火分区时，接缝室内侧应采用耐火材料封堵。</w:t>
      </w:r>
    </w:p>
    <w:p>
      <w:pPr>
        <w:pStyle w:val="74"/>
        <w:widowControl w:val="0"/>
        <w:ind w:firstLine="400"/>
      </w:pPr>
      <w:r>
        <w:t>【条文说明】墙板部品的连接及接缝是围护系统设计的重点环节，设计的合理性和适用性，直接关系到围护系统的性能。</w:t>
      </w:r>
    </w:p>
    <w:p>
      <w:pPr>
        <w:pStyle w:val="4"/>
        <w:keepNext w:val="0"/>
        <w:keepLines w:val="0"/>
        <w:ind w:left="0"/>
      </w:pPr>
      <w:r>
        <w:t>外墙墙体的燃烧性能和耐火极限应按照现行国家标准《建筑设计防火规范》GB 50016的相关规定，根据建筑的耐火等级进行确定。外墙采用的保温材料、装饰材料燃烧性能均应按照现行国家标准《建筑设计防火规范》GB 50016的相关规定进行确定。夹芯保温外墙板的整体防火性能应符合外围护非承重墙体耐火极限的规定，当中间保温材料的燃烧性能为B1或B2级时，保温材料两侧的墙体应采用不燃材料且厚度均不应小于50mm。</w:t>
      </w:r>
    </w:p>
    <w:p>
      <w:pPr>
        <w:pStyle w:val="4"/>
        <w:keepNext w:val="0"/>
        <w:keepLines w:val="0"/>
        <w:ind w:left="0"/>
      </w:pPr>
      <w:r>
        <w:t>预制混凝土外挂墙板外露的金属支撑构件及墙板内侧与钢梁、钢柱、开孔钢板组合剪力墙及楼板间的调整间隙，应采用A级防火材料进行封堵，封堵构造的耐火极限不低于墙体的耐火极限，封堵材料在耐火极限内不开裂，不脱落。</w:t>
      </w:r>
    </w:p>
    <w:p>
      <w:pPr>
        <w:pStyle w:val="4"/>
        <w:keepNext w:val="0"/>
        <w:keepLines w:val="0"/>
        <w:ind w:left="0"/>
        <w:rPr>
          <w:rFonts w:hAnsi="Calibri" w:cs="Calibri" w:asciiTheme="minorHAnsi"/>
        </w:rPr>
      </w:pPr>
      <w:r>
        <w:rPr>
          <w:rFonts w:hAnsi="Calibri" w:cs="Calibri" w:asciiTheme="minorHAnsi"/>
        </w:rPr>
        <w:t>外墙内表面及分户墙表面宜采用满足干式施工要求的部品，墙面宜设置空腔层，并应与室内设备管线进行集成设计。</w:t>
      </w:r>
    </w:p>
    <w:p>
      <w:pPr>
        <w:pStyle w:val="4"/>
        <w:keepNext w:val="0"/>
        <w:keepLines w:val="0"/>
        <w:ind w:left="0"/>
        <w:rPr>
          <w:rFonts w:hAnsi="Calibri" w:cs="Calibri" w:asciiTheme="minorHAnsi"/>
          <w:b/>
        </w:rPr>
      </w:pPr>
      <w:r>
        <w:rPr>
          <w:rFonts w:hAnsi="Calibri" w:cs="Calibri" w:asciiTheme="minorHAnsi"/>
        </w:rPr>
        <w:t>预制混凝土墙板类应符合下列规定：</w:t>
      </w:r>
    </w:p>
    <w:p>
      <w:pPr>
        <w:ind w:firstLine="316" w:firstLineChars="150"/>
      </w:pPr>
      <w:r>
        <w:rPr>
          <w:b/>
          <w:bCs/>
        </w:rPr>
        <w:t>1</w:t>
      </w:r>
      <w:r>
        <w:t>预制混凝土外挂墙板所用材料应符合现行行业标准《装配式混凝土结构技术规程》JGJ 1的规定。</w:t>
      </w:r>
    </w:p>
    <w:p>
      <w:pPr>
        <w:ind w:firstLine="316" w:firstLineChars="150"/>
      </w:pPr>
      <w:r>
        <w:rPr>
          <w:b/>
          <w:bCs/>
        </w:rPr>
        <w:t>2</w:t>
      </w:r>
      <w:r>
        <w:t>拼装用材料包括保温材料、密封材料、连接固定用材料等各类材料应符合国家现行有关标准的规定。</w:t>
      </w:r>
    </w:p>
    <w:p>
      <w:pPr>
        <w:ind w:firstLine="316" w:firstLineChars="150"/>
      </w:pPr>
      <w:r>
        <w:rPr>
          <w:b/>
          <w:bCs/>
        </w:rPr>
        <w:t>3</w:t>
      </w:r>
      <w:r>
        <w:rPr>
          <w:szCs w:val="24"/>
        </w:rPr>
        <w:t>预制混凝土外墙板、</w:t>
      </w:r>
      <w:r>
        <w:t>复合夹心条板等应符合国家现行有关标准的规定。</w:t>
      </w:r>
    </w:p>
    <w:p>
      <w:pPr>
        <w:pStyle w:val="4"/>
        <w:keepNext w:val="0"/>
        <w:keepLines w:val="0"/>
        <w:ind w:left="0"/>
        <w:rPr>
          <w:rFonts w:hAnsi="Calibri" w:cs="Calibri" w:asciiTheme="minorHAnsi"/>
        </w:rPr>
      </w:pPr>
      <w:r>
        <w:rPr>
          <w:rFonts w:hAnsi="Calibri" w:cs="Calibri" w:asciiTheme="minorHAnsi"/>
        </w:rPr>
        <w:t>预制混凝土墙板的高度不宜大于一个层高，可划分为整间板体系、横条板体系、竖条板体系等；各体系的板型划分及设计参数应满足挂板尺寸及适用范围的要求，规格及重量应满足工厂生产，车辆运输和施工吊装的要求。</w:t>
      </w:r>
    </w:p>
    <w:p>
      <w:pPr>
        <w:pStyle w:val="4"/>
        <w:keepNext w:val="0"/>
        <w:keepLines w:val="0"/>
        <w:ind w:left="0"/>
        <w:rPr>
          <w:rFonts w:hAnsi="Calibri" w:cs="Calibri" w:asciiTheme="minorHAnsi"/>
        </w:rPr>
      </w:pPr>
      <w:r>
        <w:rPr>
          <w:rFonts w:hAnsi="Calibri" w:cs="Calibri" w:asciiTheme="minorHAnsi"/>
        </w:rPr>
        <w:t>预制混凝土外墙板采用块材饰面时，应采用耐久性好、不易污染的材料；当采用面砖时，应在工厂内采用反打工艺制作，面砖应选择背面设有粘结后防止脱落措施的材料。</w:t>
      </w:r>
    </w:p>
    <w:p>
      <w:pPr>
        <w:pStyle w:val="4"/>
        <w:keepNext w:val="0"/>
        <w:keepLines w:val="0"/>
        <w:ind w:left="0"/>
      </w:pPr>
      <w:r>
        <w:t>蒸压加气混凝土外墙板应根据建筑的使用功能采用内嵌式-和内嵌外挂组合式等形式。板材的性能、连接构造、板缝构造等要求应符合现行行业标准《蒸压加气混凝土制品应用技术标准》JGJ/T 17的有关规定，并应符合下列规定：</w:t>
      </w:r>
    </w:p>
    <w:p>
      <w:pPr>
        <w:ind w:firstLine="316" w:firstLineChars="150"/>
      </w:pPr>
      <w:r>
        <w:rPr>
          <w:b/>
          <w:bCs/>
        </w:rPr>
        <w:t>1</w:t>
      </w:r>
      <w:r>
        <w:t>布置形式可采用横板、竖板、拼装大板等方式，应满足建筑的开间和层高模数尺寸的要求，避免出现非模数及非标准的特殊规格板材。</w:t>
      </w:r>
    </w:p>
    <w:p>
      <w:pPr>
        <w:ind w:firstLine="316" w:firstLineChars="150"/>
      </w:pPr>
      <w:r>
        <w:rPr>
          <w:b/>
          <w:bCs/>
        </w:rPr>
        <w:t>2</w:t>
      </w:r>
      <w:r>
        <w:t>可根据技术条件选用钩头螺栓法、滑动螺栓法、内置锚法、摇摆型工法等。</w:t>
      </w:r>
    </w:p>
    <w:p>
      <w:pPr>
        <w:ind w:firstLine="316" w:firstLineChars="150"/>
      </w:pPr>
      <w:r>
        <w:rPr>
          <w:b/>
          <w:bCs/>
        </w:rPr>
        <w:t>3</w:t>
      </w:r>
      <w:r>
        <w:t>室外侧板面及有防潮要求的室内侧板面应用专用防水界面剂进行封闭处理。</w:t>
      </w:r>
    </w:p>
    <w:p>
      <w:pPr>
        <w:ind w:firstLine="316" w:firstLineChars="150"/>
      </w:pPr>
      <w:r>
        <w:rPr>
          <w:b/>
          <w:bCs/>
        </w:rPr>
        <w:t>4</w:t>
      </w:r>
      <w:r>
        <w:t>当需同时满足保温、隔热要求时，板厚应满足保温、隔热要求的较大值。</w:t>
      </w:r>
    </w:p>
    <w:p>
      <w:pPr>
        <w:pStyle w:val="74"/>
        <w:widowControl w:val="0"/>
        <w:ind w:firstLine="400"/>
      </w:pPr>
      <w:r>
        <w:t>【条文说明】蒸压加气混凝土外墙板的安装方式分为内嵌式、外挂式，也可以根据需要采用内嵌外挂组合方式。从受力机理角度来看，分层外挂式挂法传力明确，且保温系统完整闭合，该做法在地震多发的日本应用普遍；国内居住建筑考量有效使用面积，最大限度减少露梁露柱，内嵌式挂法的应用相对多一些，但需要处理墙板与主体结构相连节点的冷（热）桥问题。</w:t>
      </w:r>
    </w:p>
    <w:p>
      <w:pPr>
        <w:pStyle w:val="74"/>
        <w:widowControl w:val="0"/>
        <w:ind w:firstLine="402"/>
      </w:pPr>
      <w:r>
        <w:rPr>
          <w:b/>
          <w:bCs/>
        </w:rPr>
        <w:t>1</w:t>
      </w:r>
      <w:r>
        <w:t xml:space="preserve"> 蒸压加气混凝土外墙板是装配式混凝土结构建筑的配套外墙产品之一，配合工业化建筑的发展，拼装单元技术将会逐渐得到推广应用，提高装配效率，推进建筑的工业化进程。</w:t>
      </w:r>
    </w:p>
    <w:p>
      <w:pPr>
        <w:pStyle w:val="74"/>
        <w:widowControl w:val="0"/>
        <w:ind w:firstLine="402"/>
      </w:pPr>
      <w:r>
        <w:rPr>
          <w:b/>
          <w:bCs/>
        </w:rPr>
        <w:t>2</w:t>
      </w:r>
      <w:r>
        <w:t>蒸压加气混凝土外墙板的安装方式决定了该围护结构的安全性、可靠性，竖墙板和拼装大板方式常用于居住建筑，应采取分层承托方式，传力路径明确，最大限度减少主体结构变形对围护结构的影响。横板安装方式多用于厂房或物流建筑，主体结构一般为门式刚架或钢框架结构，应按一定高度由主体结构承托。</w:t>
      </w:r>
    </w:p>
    <w:p>
      <w:pPr>
        <w:pStyle w:val="74"/>
        <w:widowControl w:val="0"/>
        <w:ind w:firstLine="400"/>
      </w:pPr>
      <w:r>
        <w:t>蒸压加气混凝土外墙板的安装方式存在多种情况，应根据具体情况选用。现阶段，国内工程钩头螺栓法应用普遍，其特点是施工方便、造价低，缺点是损伤板材，连接节点不属于真正意义上的柔性节点，属于半刚性连接节点，应用多层建筑外墙是可行的；对高层建筑外墙宜选用内置锚法、摇摆型工法。</w:t>
      </w:r>
    </w:p>
    <w:p>
      <w:pPr>
        <w:pStyle w:val="74"/>
        <w:widowControl w:val="0"/>
        <w:ind w:firstLine="402"/>
      </w:pPr>
      <w:r>
        <w:rPr>
          <w:b/>
          <w:bCs/>
        </w:rPr>
        <w:t>3</w:t>
      </w:r>
      <w:r>
        <w:t xml:space="preserve"> 蒸压加气混凝土外墙板是一种带孔隙的碱性材料，吸水后强度降低，外表面防水涂膜是其保证结构正常特性的保障。防水封闭是保证板材耐久性（防渗漏、防冻融）的关键技术措施。通常情况下，室外侧板面宜采用性能匹配的柔性涂料饰面。</w:t>
      </w:r>
    </w:p>
    <w:p>
      <w:pPr>
        <w:pStyle w:val="4"/>
        <w:keepNext w:val="0"/>
        <w:keepLines w:val="0"/>
        <w:ind w:left="0"/>
        <w:rPr>
          <w:rFonts w:hAnsi="Calibri" w:cs="Calibri" w:asciiTheme="minorHAnsi"/>
        </w:rPr>
      </w:pPr>
      <w:r>
        <w:rPr>
          <w:rFonts w:hAnsi="Calibri" w:cs="Calibri" w:asciiTheme="minorHAnsi"/>
        </w:rPr>
        <w:t>金属骨架组合墙体应符合下列规定：</w:t>
      </w:r>
    </w:p>
    <w:p>
      <w:pPr>
        <w:ind w:firstLine="316" w:firstLineChars="150"/>
      </w:pPr>
      <w:r>
        <w:rPr>
          <w:b/>
          <w:bCs/>
        </w:rPr>
        <w:t>1</w:t>
      </w:r>
      <w:r>
        <w:t>金属骨架应设置有效的防腐蚀措施。</w:t>
      </w:r>
    </w:p>
    <w:p>
      <w:pPr>
        <w:ind w:firstLine="316" w:firstLineChars="150"/>
      </w:pPr>
      <w:r>
        <w:rPr>
          <w:b/>
          <w:bCs/>
        </w:rPr>
        <w:t>2</w:t>
      </w:r>
      <w:r>
        <w:t>骨架外侧、中部和内侧可分别设置防护层隔离层、保温隔汽层和内饰层，并根据使用条件设置防水透气材料、空气间层、反射材料、结构蒙皮材料和隔气材料等。</w:t>
      </w:r>
    </w:p>
    <w:p>
      <w:pPr>
        <w:pStyle w:val="74"/>
        <w:widowControl w:val="0"/>
        <w:ind w:firstLine="400"/>
      </w:pPr>
      <w:r>
        <w:t>【条文说明】金属骨架组合墙体需要根据不同的气候条件，常在不同的位置设置功能膜材料，如防水膜、防水透汽膜、反射膜、隔汽膜等，寒冷或严寒地区为减少热桥效应和避免发生冷凝，还应采取隔离措施，如选用断桥龙骨，在特定部位绝缘隔离等。</w:t>
      </w:r>
    </w:p>
    <w:p>
      <w:pPr>
        <w:pStyle w:val="4"/>
        <w:keepNext w:val="0"/>
        <w:keepLines w:val="0"/>
        <w:ind w:left="0"/>
        <w:rPr>
          <w:rFonts w:hAnsi="Calibri" w:cs="Calibri" w:asciiTheme="minorHAnsi"/>
        </w:rPr>
      </w:pPr>
      <w:r>
        <w:rPr>
          <w:rFonts w:hAnsi="Calibri" w:cs="Calibri" w:asciiTheme="minorHAnsi"/>
        </w:rPr>
        <w:t>建筑幕墙应符合下列规定：</w:t>
      </w:r>
    </w:p>
    <w:p>
      <w:pPr>
        <w:ind w:firstLine="316" w:firstLineChars="150"/>
      </w:pPr>
      <w:r>
        <w:rPr>
          <w:b/>
          <w:bCs/>
        </w:rPr>
        <w:t>1</w:t>
      </w:r>
      <w:r>
        <w:t>应根据建筑物的使用要求、建筑造型，合理选择幕墙形式，宜采用单元式幕墙系统。</w:t>
      </w:r>
    </w:p>
    <w:p>
      <w:pPr>
        <w:ind w:firstLine="316" w:firstLineChars="150"/>
      </w:pPr>
      <w:r>
        <w:rPr>
          <w:b/>
          <w:bCs/>
        </w:rPr>
        <w:t>2</w:t>
      </w:r>
      <w:r>
        <w:t>应根据不同的面板材料，选择相应的幕墙结构、配套材料的构造方式等。</w:t>
      </w:r>
    </w:p>
    <w:p>
      <w:pPr>
        <w:ind w:firstLine="316" w:firstLineChars="150"/>
      </w:pPr>
      <w:r>
        <w:rPr>
          <w:b/>
          <w:bCs/>
        </w:rPr>
        <w:t>3</w:t>
      </w:r>
      <w:r>
        <w:t>应具有适应主体结构层间变形的能力；主体结构中连接幕墙的预埋件、锚固件应能承受幕墙传递的荷载和作用，连接件与主体结构的锚固极限承载力应大于连接件本身的承载力设计值。</w:t>
      </w:r>
    </w:p>
    <w:p>
      <w:pPr>
        <w:ind w:firstLine="316" w:firstLineChars="150"/>
      </w:pPr>
      <w:r>
        <w:rPr>
          <w:b/>
          <w:bCs/>
        </w:rPr>
        <w:t>4</w:t>
      </w:r>
      <w:r>
        <w:t>金属与石材幕墙的设计应符合现行行业标准《金属与石材幕墙工程技术规范》JGJ 133的规定。</w:t>
      </w:r>
    </w:p>
    <w:p>
      <w:pPr>
        <w:ind w:firstLine="316" w:firstLineChars="150"/>
      </w:pPr>
      <w:r>
        <w:rPr>
          <w:b/>
          <w:bCs/>
        </w:rPr>
        <w:t>5</w:t>
      </w:r>
      <w:r>
        <w:t>人造板材幕墙的设计应符合现行行业标准《人造板材幕墙工程技术规范》JGJ 336的规定。</w:t>
      </w:r>
    </w:p>
    <w:p>
      <w:pPr>
        <w:pStyle w:val="74"/>
        <w:widowControl w:val="0"/>
        <w:ind w:firstLine="400"/>
      </w:pPr>
      <w:r>
        <w:t>【条文说明】建筑幕墙体系，包括单元式幕墙、构件式和点支承幕墙，在我国已应用多年，技术成熟度高、标准体系完善度好，作为装配式钢结构建筑的外墙围护系统的重要组成部分，应按照建筑幕墙行业的现行规定执行。当围护结构采用了新材料或新工艺时，在使用前应对材料进行复检和必要的技术论证。</w:t>
      </w:r>
    </w:p>
    <w:p>
      <w:pPr>
        <w:pStyle w:val="4"/>
        <w:keepNext w:val="0"/>
        <w:keepLines w:val="0"/>
        <w:ind w:left="0"/>
        <w:rPr>
          <w:rFonts w:hAnsi="Calibri" w:cs="Calibri" w:asciiTheme="minorHAnsi"/>
          <w:b/>
        </w:rPr>
      </w:pPr>
      <w:r>
        <w:rPr>
          <w:rFonts w:hAnsi="Calibri" w:cs="Calibri" w:asciiTheme="minorHAnsi"/>
        </w:rPr>
        <w:t>非承重内墙设计宜采用装配式部品，并符合下列规定：</w:t>
      </w:r>
    </w:p>
    <w:p>
      <w:pPr>
        <w:ind w:firstLine="316" w:firstLineChars="150"/>
      </w:pPr>
      <w:r>
        <w:rPr>
          <w:b/>
          <w:bCs/>
        </w:rPr>
        <w:t>1</w:t>
      </w:r>
      <w:r>
        <w:t>可选用装配式轻型条板隔墙系统；装配式骨架复合板隔墙系统；当有可靠依据时，也可采用其他满足力学和物理性能的预制墙板。</w:t>
      </w:r>
    </w:p>
    <w:p>
      <w:pPr>
        <w:ind w:firstLine="316" w:firstLineChars="150"/>
      </w:pPr>
      <w:r>
        <w:rPr>
          <w:b/>
          <w:bCs/>
        </w:rPr>
        <w:t>2</w:t>
      </w:r>
      <w:r>
        <w:t>骨架复合板隔墙宜在空腔内敷设管线及接线盒等。</w:t>
      </w:r>
    </w:p>
    <w:p>
      <w:pPr>
        <w:ind w:firstLine="316" w:firstLineChars="150"/>
      </w:pPr>
      <w:r>
        <w:rPr>
          <w:b/>
          <w:bCs/>
        </w:rPr>
        <w:t>3</w:t>
      </w:r>
      <w:r>
        <w:t>当隔墙上需要固定电器、橱柜、洁具等较重设备或其他物品时，应采取加强措施，其承载力应满足相关安全要求，牢固可靠。</w:t>
      </w:r>
    </w:p>
    <w:p>
      <w:pPr>
        <w:ind w:firstLine="316" w:firstLineChars="150"/>
      </w:pPr>
      <w:r>
        <w:rPr>
          <w:b/>
          <w:bCs/>
        </w:rPr>
        <w:t>4</w:t>
      </w:r>
      <w:r>
        <w:t>不同材质墙体间的板缝应采用弹性密封，门框、窗框与墙体连接应满足可靠、牢固、安装方便的要求，并宜选用工厂化门窗套进行门窗收口。</w:t>
      </w:r>
    </w:p>
    <w:p>
      <w:pPr>
        <w:pStyle w:val="74"/>
        <w:widowControl w:val="0"/>
        <w:ind w:firstLine="400"/>
      </w:pPr>
      <w:r>
        <w:t>【条文说明】装配式建筑采用装配式轻质隔墙，既可利用轻质隔墙的空腔敷设管线有利于工业化建造施工与管理，也有利于后期空间的灵活改造和使用维护。装配式隔墙应预先确定固定点的位置、形式和荷载，并应通过调整龙骨间距、增设龙骨横撑和预埋木方等措施为外挂安装提供条件。采用轻质内隔墙是建筑内装工业化的基本措施之一，隔墙集成程度（隔墙骨架与饰面层的集成）、施工是否便捷、高效是内装工业化水平的主要标志。</w:t>
      </w:r>
    </w:p>
    <w:p>
      <w:pPr>
        <w:pStyle w:val="4"/>
        <w:keepNext w:val="0"/>
        <w:keepLines w:val="0"/>
        <w:ind w:left="0"/>
        <w:rPr>
          <w:rFonts w:hAnsi="Calibri" w:cs="Calibri" w:asciiTheme="minorHAnsi"/>
          <w:b/>
        </w:rPr>
      </w:pPr>
      <w:r>
        <w:rPr>
          <w:rFonts w:hAnsi="Calibri" w:cs="Calibri" w:asciiTheme="minorHAnsi"/>
        </w:rPr>
        <w:t>预制内墙板设计应满足下列要求：</w:t>
      </w:r>
    </w:p>
    <w:p>
      <w:pPr>
        <w:ind w:firstLine="316" w:firstLineChars="150"/>
      </w:pPr>
      <w:r>
        <w:rPr>
          <w:b/>
          <w:bCs/>
        </w:rPr>
        <w:t>1</w:t>
      </w:r>
      <w:r>
        <w:t>预制内墙板应采用自重轻的材料，隔声、防火及防水性能等应符合相关标准的要求。</w:t>
      </w:r>
    </w:p>
    <w:p>
      <w:pPr>
        <w:ind w:firstLine="316" w:firstLineChars="150"/>
      </w:pPr>
      <w:r>
        <w:rPr>
          <w:b/>
          <w:bCs/>
        </w:rPr>
        <w:t>2</w:t>
      </w:r>
      <w:r>
        <w:t>预制内墙板应有满足与空调内机、壁挂电视、热水器、脱排油烟机等住宅部件牢固连接的构造措施。</w:t>
      </w:r>
    </w:p>
    <w:p>
      <w:pPr>
        <w:ind w:firstLine="316" w:firstLineChars="150"/>
      </w:pPr>
      <w:r>
        <w:rPr>
          <w:b/>
          <w:bCs/>
        </w:rPr>
        <w:t>3</w:t>
      </w:r>
      <w:r>
        <w:t>预制内墙板之间及与主体结构应可靠连接，满足抗震及日常使用安全性要求，并采取构造措施防止开裂剥落。</w:t>
      </w:r>
    </w:p>
    <w:p>
      <w:pPr>
        <w:pStyle w:val="4"/>
        <w:keepNext w:val="0"/>
        <w:keepLines w:val="0"/>
        <w:ind w:left="0"/>
      </w:pPr>
      <w:r>
        <w:t>内墙墙体的燃烧性能和耐火极限应符合现行国家标准《建筑设计防火规范》GB 50016的相关规定，内墙装修材料的燃烧性能应符合现行国家标准《建筑内部装修设计防火规范》GB 50222的相关规定。</w:t>
      </w:r>
    </w:p>
    <w:p>
      <w:pPr>
        <w:pStyle w:val="3"/>
        <w:keepNext w:val="0"/>
        <w:keepLines w:val="0"/>
        <w:ind w:firstLine="482"/>
        <w:rPr>
          <w:rFonts w:hAnsi="Calibri" w:cs="Calibri" w:asciiTheme="minorHAnsi"/>
        </w:rPr>
      </w:pPr>
      <w:bookmarkStart w:id="27" w:name="_Toc11499"/>
      <w:r>
        <w:rPr>
          <w:rFonts w:hAnsi="Calibri" w:cs="Calibri" w:asciiTheme="minorHAnsi"/>
        </w:rPr>
        <w:t>楼屋面系统设计</w:t>
      </w:r>
      <w:bookmarkEnd w:id="27"/>
    </w:p>
    <w:p>
      <w:pPr>
        <w:pStyle w:val="4"/>
        <w:keepNext w:val="0"/>
        <w:keepLines w:val="0"/>
        <w:ind w:left="0"/>
        <w:rPr>
          <w:rFonts w:hAnsi="Calibri" w:cs="Calibri" w:asciiTheme="minorHAnsi"/>
        </w:rPr>
      </w:pPr>
      <w:r>
        <w:rPr>
          <w:rFonts w:hAnsi="Calibri" w:cs="Calibri" w:asciiTheme="minorHAnsi"/>
        </w:rPr>
        <w:t>需要降板的房间（包括卫生间、厨房）的位置及降板范围，应结合结构的板跨、设备管线等因素进行设计，并为房间的可变性留有余地。</w:t>
      </w:r>
    </w:p>
    <w:p>
      <w:pPr>
        <w:pStyle w:val="74"/>
        <w:widowControl w:val="0"/>
        <w:ind w:firstLine="400"/>
      </w:pPr>
      <w:r>
        <w:t>【条文说明】厨房、卫生间等房间，管线敷设较多，条件较为复杂，设计时应提前考虑。如果要求预制构件开洞、留槽、降板等，均应详细设计，提前在工厂加工完成，再到现场安装。</w:t>
      </w:r>
    </w:p>
    <w:p>
      <w:pPr>
        <w:pStyle w:val="4"/>
        <w:keepNext w:val="0"/>
        <w:keepLines w:val="0"/>
        <w:ind w:left="0"/>
      </w:pPr>
      <w:r>
        <w:t>分户楼板的空气声隔声性能和计权规范化撞击声压级均应满足现行国家标准《住宅设计规范》GB 50096有关规定。</w:t>
      </w:r>
    </w:p>
    <w:p>
      <w:pPr>
        <w:pStyle w:val="74"/>
        <w:widowControl w:val="0"/>
        <w:ind w:firstLine="400"/>
      </w:pPr>
      <w:r>
        <w:t>【条文说明】楼板的隔声性能是住宅室内环境的重要指标，以往的住宅设计往往忽略了这一方面。随着社会进步，人民群众的生活水平不断提高，日益重视居住环境的健康、舒适。近年来的住宅建筑工程质量投诉中有不少意见反映分户楼板隔声性能不达标，因此特别强调此条。</w:t>
      </w:r>
    </w:p>
    <w:p>
      <w:pPr>
        <w:pStyle w:val="4"/>
        <w:keepNext w:val="0"/>
        <w:keepLines w:val="0"/>
        <w:ind w:left="0"/>
        <w:rPr>
          <w:rFonts w:hAnsi="Calibri" w:cs="Calibri" w:asciiTheme="minorHAnsi"/>
        </w:rPr>
      </w:pPr>
      <w:r>
        <w:rPr>
          <w:rFonts w:hAnsi="Calibri" w:cs="Calibri" w:asciiTheme="minorHAnsi"/>
        </w:rPr>
        <w:t>住宅底层厨房的地面遇有室外燃气管接入时，应采用实铺地面。</w:t>
      </w:r>
    </w:p>
    <w:p>
      <w:pPr>
        <w:pStyle w:val="74"/>
        <w:widowControl w:val="0"/>
        <w:ind w:firstLine="400"/>
        <w:rPr>
          <w:rFonts w:hAnsi="Calibri" w:cs="Calibri" w:asciiTheme="minorHAnsi"/>
        </w:rPr>
      </w:pPr>
      <w:r>
        <w:t>【条文说明】燃气管道有其特殊性和对消防安全的要求，因此要按燃气要求实铺接入。</w:t>
      </w:r>
    </w:p>
    <w:p>
      <w:pPr>
        <w:pStyle w:val="4"/>
        <w:keepNext w:val="0"/>
        <w:keepLines w:val="0"/>
        <w:ind w:left="0"/>
      </w:pPr>
      <w:r>
        <w:t>装配式开孔钢板组合剪力墙住宅屋面系统的防水等级应根据建筑造型、重要程度、使用功能、所处环境条件确定，且应满足现行国家标准《屋面工程技术规范》GB 50345中规定的屋面防水等级，并应具有良好的排水功能，应设置有组织排水系统。</w:t>
      </w:r>
    </w:p>
    <w:p>
      <w:pPr>
        <w:pStyle w:val="3"/>
        <w:keepNext w:val="0"/>
        <w:keepLines w:val="0"/>
        <w:ind w:firstLine="482"/>
        <w:rPr>
          <w:rFonts w:hAnsi="Calibri" w:cs="Calibri" w:asciiTheme="minorHAnsi"/>
        </w:rPr>
      </w:pPr>
      <w:bookmarkStart w:id="28" w:name="_Toc31649"/>
      <w:bookmarkStart w:id="29" w:name="_Toc36207152"/>
      <w:r>
        <w:rPr>
          <w:rFonts w:hAnsi="Calibri" w:cs="Calibri" w:asciiTheme="minorHAnsi"/>
        </w:rPr>
        <w:t>装饰装修设计</w:t>
      </w:r>
      <w:bookmarkEnd w:id="28"/>
      <w:bookmarkEnd w:id="29"/>
    </w:p>
    <w:p>
      <w:pPr>
        <w:pStyle w:val="4"/>
        <w:keepNext w:val="0"/>
        <w:keepLines w:val="0"/>
        <w:ind w:left="0"/>
        <w:rPr>
          <w:rFonts w:hAnsi="Calibri" w:cs="Calibri" w:asciiTheme="minorHAnsi"/>
        </w:rPr>
      </w:pPr>
      <w:r>
        <w:t>装配式开孔钢板组合剪力墙住宅</w:t>
      </w:r>
      <w:r>
        <w:rPr>
          <w:rFonts w:hAnsi="Calibri" w:cs="Calibri" w:asciiTheme="minorHAnsi"/>
        </w:rPr>
        <w:t>的室内装修的主要标准构配件宜以工厂化加工为主，部分非标准或特殊的构配件可由现场安装时统一处理。</w:t>
      </w:r>
    </w:p>
    <w:p>
      <w:pPr>
        <w:pStyle w:val="74"/>
        <w:widowControl w:val="0"/>
        <w:ind w:firstLine="400"/>
      </w:pPr>
      <w:r>
        <w:t>【条文说明】装配式住宅内装修立足于部品、部件的工业化生产，其精度和品质大大优于传统装修方式，大大减少现场手工制作，使得装修施工现场实现装配化的可能。</w:t>
      </w:r>
    </w:p>
    <w:p>
      <w:pPr>
        <w:pStyle w:val="4"/>
        <w:keepNext w:val="0"/>
        <w:keepLines w:val="0"/>
        <w:ind w:left="0"/>
        <w:rPr>
          <w:rFonts w:hAnsi="Calibri" w:cs="Calibri" w:asciiTheme="minorHAnsi"/>
        </w:rPr>
      </w:pPr>
      <w:r>
        <w:rPr>
          <w:rFonts w:hAnsi="Calibri" w:cs="Calibri" w:asciiTheme="minorHAnsi"/>
        </w:rPr>
        <w:t>室内装修所需的装修材料及建筑部品，应结合建筑使用功能和设计防火要求，满足国家和重庆市现行有关标准的规定。</w:t>
      </w:r>
    </w:p>
    <w:p>
      <w:pPr>
        <w:pStyle w:val="74"/>
        <w:widowControl w:val="0"/>
        <w:ind w:firstLine="400"/>
      </w:pPr>
      <w:r>
        <w:t>【条文说明】住宅装修材料应符合现行国家标准《建筑内部装修设计防火规范》GB 50222、</w:t>
      </w:r>
      <w:r>
        <w:rPr>
          <w:rFonts w:hint="eastAsia"/>
        </w:rPr>
        <w:t>《</w:t>
      </w:r>
      <w:r>
        <w:t>民用建筑工程室内环境污染控制标准》GB 50325的规定。</w:t>
      </w:r>
    </w:p>
    <w:p>
      <w:pPr>
        <w:pStyle w:val="4"/>
        <w:keepNext w:val="0"/>
        <w:keepLines w:val="0"/>
        <w:ind w:left="0"/>
        <w:rPr>
          <w:rFonts w:hAnsi="Calibri" w:cs="Calibri" w:asciiTheme="minorHAnsi"/>
        </w:rPr>
      </w:pPr>
      <w:r>
        <w:rPr>
          <w:rFonts w:hAnsi="Calibri" w:cs="Calibri" w:asciiTheme="minorHAnsi"/>
        </w:rPr>
        <w:t>建筑装修材料、设备在需要与预制构件连接时宜采用预留预埋的安装方式，当采用膨胀螺栓、自攻螺丝、钉接、粘接等固定法后期安装时，应在预制构件允许范围内，不得剔凿预制承重构件及其现浇节点，影响结构安全。</w:t>
      </w:r>
    </w:p>
    <w:p>
      <w:pPr>
        <w:pStyle w:val="74"/>
        <w:widowControl w:val="0"/>
        <w:ind w:firstLine="400"/>
      </w:pPr>
      <w:r>
        <w:t>【条文说明】结合预制构件的特点，钢筋及金属件较多，因此，在设计时应在预制构件上预埋套管、预留孔洞、预埋管件，避免施工现场剔凿对结构造成破坏。</w:t>
      </w:r>
    </w:p>
    <w:p>
      <w:pPr>
        <w:pStyle w:val="4"/>
        <w:keepNext w:val="0"/>
        <w:keepLines w:val="0"/>
        <w:ind w:left="0"/>
        <w:rPr>
          <w:rFonts w:hAnsi="Calibri" w:cs="Calibri" w:asciiTheme="minorHAnsi"/>
        </w:rPr>
      </w:pPr>
      <w:r>
        <w:rPr>
          <w:rFonts w:hAnsi="Calibri" w:cs="Calibri" w:asciiTheme="minorHAnsi"/>
        </w:rPr>
        <w:t>外墙内表面及分户墙表面宜采用满足干式工法施工要求的部品，墙面宜设置空腔层，并应与室内设备管线进行集成设计。</w:t>
      </w:r>
    </w:p>
    <w:p>
      <w:pPr>
        <w:pStyle w:val="74"/>
        <w:widowControl w:val="0"/>
        <w:ind w:firstLine="400"/>
      </w:pPr>
      <w:r>
        <w:t>【条文说明】外墙内表面及分户墙表面可以采用适宜干式工法要求的集成化部品，设置墙面架空层，在架空层内可敷设管道管线，因此内装设计时与室内设备和管线要进行一体化的集成设计。</w:t>
      </w:r>
    </w:p>
    <w:p>
      <w:pPr>
        <w:pStyle w:val="4"/>
        <w:keepNext w:val="0"/>
        <w:keepLines w:val="0"/>
        <w:ind w:left="0"/>
        <w:rPr>
          <w:rFonts w:hAnsi="Calibri" w:cs="Calibri" w:asciiTheme="minorHAnsi"/>
        </w:rPr>
      </w:pPr>
      <w:r>
        <w:rPr>
          <w:rFonts w:hAnsi="Calibri" w:cs="Calibri" w:asciiTheme="minorHAnsi"/>
        </w:rPr>
        <w:t>部品接口设计应符合部品与管线之间、部品之间连接的通用性要求，并应符合下列规定：</w:t>
      </w:r>
    </w:p>
    <w:p>
      <w:pPr>
        <w:ind w:firstLine="316" w:firstLineChars="150"/>
      </w:pPr>
      <w:r>
        <w:rPr>
          <w:b/>
          <w:bCs/>
        </w:rPr>
        <w:t>1</w:t>
      </w:r>
      <w:r>
        <w:t>接口应做到位置固定、连接合理、拆装方便及使用可靠。</w:t>
      </w:r>
    </w:p>
    <w:p>
      <w:pPr>
        <w:ind w:firstLine="316" w:firstLineChars="150"/>
      </w:pPr>
      <w:r>
        <w:rPr>
          <w:b/>
          <w:bCs/>
        </w:rPr>
        <w:t>2</w:t>
      </w:r>
      <w:r>
        <w:t>各类接口尺寸应符合公差协调要求。</w:t>
      </w:r>
    </w:p>
    <w:p>
      <w:pPr>
        <w:pStyle w:val="4"/>
        <w:keepNext w:val="0"/>
        <w:keepLines w:val="0"/>
        <w:ind w:left="0"/>
        <w:rPr>
          <w:rFonts w:hAnsi="Calibri" w:cs="Calibri" w:asciiTheme="minorHAnsi"/>
        </w:rPr>
      </w:pPr>
      <w:r>
        <w:rPr>
          <w:rFonts w:hAnsi="Calibri" w:cs="Calibri" w:asciiTheme="minorHAnsi"/>
        </w:rPr>
        <w:t>预制内墙应结合住宅功能要求和精装修做好点位、管线等的预留预埋接口。</w:t>
      </w:r>
    </w:p>
    <w:p>
      <w:pPr>
        <w:pStyle w:val="4"/>
        <w:keepNext w:val="0"/>
        <w:keepLines w:val="0"/>
        <w:ind w:left="0"/>
        <w:rPr>
          <w:rFonts w:hAnsi="Calibri" w:cs="Calibri" w:asciiTheme="minorHAnsi"/>
        </w:rPr>
      </w:pPr>
      <w:r>
        <w:rPr>
          <w:rFonts w:hAnsi="Calibri" w:cs="Calibri" w:asciiTheme="minorHAnsi"/>
        </w:rPr>
        <w:t>吊顶设计宜采用装配式部品，并符合下列规定：</w:t>
      </w:r>
    </w:p>
    <w:p>
      <w:pPr>
        <w:ind w:firstLine="316" w:firstLineChars="150"/>
      </w:pPr>
      <w:r>
        <w:rPr>
          <w:b/>
          <w:bCs/>
        </w:rPr>
        <w:t>1</w:t>
      </w:r>
      <w:r>
        <w:t>当采用压型钢板组合楼板或钢筋桁架楼承板组合楼板时，宜设置吊顶。</w:t>
      </w:r>
    </w:p>
    <w:p>
      <w:pPr>
        <w:ind w:firstLine="316" w:firstLineChars="150"/>
      </w:pPr>
      <w:r>
        <w:rPr>
          <w:b/>
          <w:bCs/>
        </w:rPr>
        <w:t>2</w:t>
      </w:r>
      <w:r>
        <w:t>当采用开口型压型钢板组合楼板或带肋混凝土楼盖时，宜利用楼板底部肋侧空间进行管线布置，并设置吊顶。</w:t>
      </w:r>
    </w:p>
    <w:p>
      <w:pPr>
        <w:ind w:firstLine="316" w:firstLineChars="150"/>
      </w:pPr>
      <w:r>
        <w:rPr>
          <w:b/>
          <w:bCs/>
        </w:rPr>
        <w:t>3</w:t>
      </w:r>
      <w:r>
        <w:t>厨房、卫生间的吊顶在管线集中部位应设有检修口。</w:t>
      </w:r>
    </w:p>
    <w:p>
      <w:pPr>
        <w:pStyle w:val="4"/>
        <w:keepNext w:val="0"/>
        <w:keepLines w:val="0"/>
        <w:ind w:left="0"/>
        <w:rPr>
          <w:rFonts w:hAnsi="Calibri" w:cs="Calibri" w:asciiTheme="minorHAnsi"/>
        </w:rPr>
      </w:pPr>
      <w:r>
        <w:rPr>
          <w:rFonts w:hAnsi="Calibri" w:cs="Calibri" w:asciiTheme="minorHAnsi"/>
        </w:rPr>
        <w:t>装配式楼地面设计宜采用装配式部品，并符合下列规定：</w:t>
      </w:r>
    </w:p>
    <w:p>
      <w:pPr>
        <w:ind w:firstLine="316" w:firstLineChars="150"/>
      </w:pPr>
      <w:r>
        <w:rPr>
          <w:b/>
          <w:bCs/>
        </w:rPr>
        <w:t>1</w:t>
      </w:r>
      <w:r>
        <w:t>架空地板系统的架空层内宜敷设给水排水和供暖等管道。</w:t>
      </w:r>
    </w:p>
    <w:p>
      <w:pPr>
        <w:ind w:firstLine="316" w:firstLineChars="150"/>
      </w:pPr>
      <w:r>
        <w:rPr>
          <w:b/>
          <w:bCs/>
        </w:rPr>
        <w:t>2</w:t>
      </w:r>
      <w:r>
        <w:t>架空地板高度应根据管线的管径、长度、坡度以及管线交叉情况进行计算，并应采取减振措施。</w:t>
      </w:r>
    </w:p>
    <w:p>
      <w:pPr>
        <w:ind w:firstLine="316" w:firstLineChars="150"/>
      </w:pPr>
      <w:r>
        <w:rPr>
          <w:b/>
          <w:bCs/>
        </w:rPr>
        <w:t>3</w:t>
      </w:r>
      <w:r>
        <w:t>当楼地面系统架空层内敷设管线时，应设置检修口。</w:t>
      </w:r>
    </w:p>
    <w:p>
      <w:pPr>
        <w:ind w:firstLine="316" w:firstLineChars="150"/>
      </w:pPr>
      <w:r>
        <w:rPr>
          <w:b/>
          <w:bCs/>
        </w:rPr>
        <w:t>4</w:t>
      </w:r>
      <w:r>
        <w:t>外围护系统与楼板端面间的缝隙应采用防火隔声材料填塞。</w:t>
      </w:r>
    </w:p>
    <w:p>
      <w:pPr>
        <w:ind w:firstLine="316" w:firstLineChars="150"/>
      </w:pPr>
      <w:r>
        <w:rPr>
          <w:b/>
          <w:bCs/>
        </w:rPr>
        <w:t>5</w:t>
      </w:r>
      <w:r>
        <w:t>钢构件在套型间和户内空间易形成声桥部位，应采用隔声材料或混凝土材料填充、包覆。</w:t>
      </w:r>
    </w:p>
    <w:p>
      <w:pPr>
        <w:ind w:firstLine="316" w:firstLineChars="150"/>
      </w:pPr>
      <w:r>
        <w:rPr>
          <w:b/>
          <w:bCs/>
        </w:rPr>
        <w:t>6</w:t>
      </w:r>
      <w:r>
        <w:t>地板采暖时宜采用干法施工地板辐射采暖的集成化部品。</w:t>
      </w:r>
    </w:p>
    <w:p>
      <w:pPr>
        <w:pStyle w:val="74"/>
        <w:widowControl w:val="0"/>
        <w:ind w:firstLine="400"/>
      </w:pPr>
      <w:r>
        <w:t>【条文说明】地面部品从建筑工业化角度出发，其做法宜采用可敷设管线的架空地板系统等集成化部品。架空地板系统，在地板下面采用树脂或金属地脚螺栓支撑，架空空间内敷设给水排水管道，在安装分水器的地板处设置地面检修口，以方便管道检查和修理使用。</w:t>
      </w:r>
    </w:p>
    <w:p>
      <w:pPr>
        <w:pStyle w:val="4"/>
        <w:keepNext w:val="0"/>
        <w:keepLines w:val="0"/>
        <w:ind w:left="0"/>
        <w:rPr>
          <w:rFonts w:hAnsi="Calibri" w:cs="Calibri" w:asciiTheme="minorHAnsi"/>
        </w:rPr>
      </w:pPr>
      <w:r>
        <w:rPr>
          <w:rFonts w:hAnsi="Calibri" w:cs="Calibri" w:asciiTheme="minorHAnsi"/>
        </w:rPr>
        <w:t>集成式厨房应符合下列规定：</w:t>
      </w:r>
    </w:p>
    <w:p>
      <w:pPr>
        <w:ind w:firstLine="316" w:firstLineChars="150"/>
      </w:pPr>
      <w:r>
        <w:rPr>
          <w:b/>
          <w:bCs/>
        </w:rPr>
        <w:t>1</w:t>
      </w:r>
      <w:r>
        <w:t>应满足厨房设备设施点位预留的要求。</w:t>
      </w:r>
    </w:p>
    <w:p>
      <w:pPr>
        <w:ind w:firstLine="316" w:firstLineChars="150"/>
      </w:pPr>
      <w:r>
        <w:rPr>
          <w:b/>
          <w:bCs/>
        </w:rPr>
        <w:t>2</w:t>
      </w:r>
      <w:r>
        <w:t>给水排水、燃气管道等应集中设置、合理定位，并应设置管道检修口。</w:t>
      </w:r>
    </w:p>
    <w:p>
      <w:pPr>
        <w:ind w:firstLine="316" w:firstLineChars="150"/>
      </w:pPr>
      <w:r>
        <w:rPr>
          <w:b/>
          <w:bCs/>
        </w:rPr>
        <w:t>3</w:t>
      </w:r>
      <w:r>
        <w:t>应设置热水器的安装位置及预留孔，燃气热水器应预留排烟管口。</w:t>
      </w:r>
    </w:p>
    <w:p>
      <w:pPr>
        <w:pStyle w:val="4"/>
        <w:keepNext w:val="0"/>
        <w:keepLines w:val="0"/>
        <w:ind w:left="0"/>
        <w:rPr>
          <w:rFonts w:hAnsi="Calibri" w:cs="Calibri" w:asciiTheme="minorHAnsi"/>
        </w:rPr>
      </w:pPr>
      <w:r>
        <w:rPr>
          <w:rFonts w:hAnsi="Calibri" w:cs="Calibri" w:asciiTheme="minorHAnsi"/>
        </w:rPr>
        <w:t>集成式卫生间应符合下列规定：</w:t>
      </w:r>
    </w:p>
    <w:p>
      <w:pPr>
        <w:ind w:firstLine="316" w:firstLineChars="150"/>
      </w:pPr>
      <w:r>
        <w:rPr>
          <w:b/>
          <w:bCs/>
        </w:rPr>
        <w:t>1</w:t>
      </w:r>
      <w:r>
        <w:t>宜采用干湿区分离的布置方式，并应满足设备设施点位预留的要求。</w:t>
      </w:r>
    </w:p>
    <w:p>
      <w:pPr>
        <w:ind w:firstLine="316" w:firstLineChars="150"/>
      </w:pPr>
      <w:r>
        <w:rPr>
          <w:b/>
          <w:bCs/>
        </w:rPr>
        <w:t>2</w:t>
      </w:r>
      <w:r>
        <w:t>应满足同层排水的要求，给水排水、通风和电气等管线的连接均应在设计预留的空间内安装完成，并应设置检修口。</w:t>
      </w:r>
    </w:p>
    <w:p>
      <w:pPr>
        <w:ind w:firstLine="316" w:firstLineChars="150"/>
      </w:pPr>
      <w:r>
        <w:rPr>
          <w:b/>
          <w:bCs/>
        </w:rPr>
        <w:t>3</w:t>
      </w:r>
      <w:r>
        <w:t>当采用防水底盘时，防水底盘与墙板之间应有可靠连接设计；防水底盘的固定安装不应破坏结构防水层。</w:t>
      </w:r>
    </w:p>
    <w:p>
      <w:pPr>
        <w:ind w:firstLine="316" w:firstLineChars="150"/>
      </w:pPr>
      <w:r>
        <w:rPr>
          <w:b/>
          <w:bCs/>
        </w:rPr>
        <w:t>4</w:t>
      </w:r>
      <w:r>
        <w:t>应进行等电位连接设计。</w:t>
      </w:r>
    </w:p>
    <w:p>
      <w:pPr>
        <w:pStyle w:val="4"/>
        <w:keepNext w:val="0"/>
        <w:keepLines w:val="0"/>
        <w:ind w:left="0"/>
        <w:rPr>
          <w:rFonts w:hAnsi="Calibri" w:cs="Calibri" w:asciiTheme="minorHAnsi"/>
        </w:rPr>
      </w:pPr>
      <w:r>
        <w:rPr>
          <w:rFonts w:hAnsi="Calibri" w:cs="Calibri" w:asciiTheme="minorHAnsi"/>
        </w:rPr>
        <w:t>宜选用标准化系列化的整体收纳。</w:t>
      </w:r>
    </w:p>
    <w:p>
      <w:pPr>
        <w:pStyle w:val="4"/>
        <w:keepNext w:val="0"/>
        <w:keepLines w:val="0"/>
        <w:ind w:left="0"/>
      </w:pPr>
      <w:r>
        <w:t>内装系统设计宜采用建筑信息模型（BIM）技术，与结构系统、外围护系统、设备与管线系统进行一体化设计，预留洞口、预埋件、连接件、接口设计应准确到位。</w:t>
      </w:r>
    </w:p>
    <w:p>
      <w:pPr>
        <w:pStyle w:val="4"/>
        <w:keepNext w:val="0"/>
        <w:keepLines w:val="0"/>
        <w:ind w:left="0"/>
        <w:rPr>
          <w:rFonts w:hAnsi="Calibri" w:cs="Calibri" w:asciiTheme="minorHAnsi"/>
        </w:rPr>
      </w:pPr>
      <w:r>
        <w:rPr>
          <w:rFonts w:hAnsi="Calibri" w:cs="Calibri" w:asciiTheme="minorHAnsi"/>
        </w:rPr>
        <w:t>内装部品与主体结构的连接和接缝宜采用柔性设计，其缝隙变形能力应与结构弹性阶段的层间位移角相适应。</w:t>
      </w:r>
      <w:r>
        <w:rPr>
          <w:rFonts w:hAnsi="Calibri" w:cs="Calibri" w:asciiTheme="minorHAnsi"/>
        </w:rPr>
        <w:br w:type="page"/>
      </w:r>
    </w:p>
    <w:p>
      <w:pPr>
        <w:pStyle w:val="2"/>
        <w:spacing w:before="156" w:after="156"/>
        <w:ind w:firstLine="643"/>
        <w:rPr>
          <w:rFonts w:hAnsi="Calibri" w:cs="Calibri" w:asciiTheme="minorHAnsi"/>
        </w:rPr>
      </w:pPr>
      <w:bookmarkStart w:id="30" w:name="_Toc2034"/>
      <w:r>
        <w:rPr>
          <w:rFonts w:hAnsi="Calibri" w:cs="Calibri" w:asciiTheme="minorHAnsi"/>
        </w:rPr>
        <w:t>结构设计</w:t>
      </w:r>
      <w:bookmarkEnd w:id="16"/>
      <w:bookmarkEnd w:id="30"/>
    </w:p>
    <w:p>
      <w:pPr>
        <w:pStyle w:val="3"/>
        <w:spacing w:before="156" w:after="156"/>
        <w:ind w:firstLine="482"/>
      </w:pPr>
      <w:bookmarkStart w:id="31" w:name="_Toc6160"/>
      <w:r>
        <w:t>一般规定</w:t>
      </w:r>
      <w:bookmarkEnd w:id="31"/>
    </w:p>
    <w:p>
      <w:pPr>
        <w:pStyle w:val="4"/>
        <w:ind w:left="0"/>
      </w:pPr>
      <w:r>
        <w:rPr>
          <w:rFonts w:hint="eastAsia"/>
        </w:rPr>
        <w:t>装配式开孔钢板组合剪力墙住宅结构设计应包含以下内容：</w:t>
      </w:r>
    </w:p>
    <w:p>
      <w:pPr>
        <w:ind w:firstLine="316" w:firstLineChars="150"/>
      </w:pPr>
      <w:r>
        <w:rPr>
          <w:rFonts w:hint="eastAsia"/>
          <w:b/>
          <w:bCs/>
        </w:rPr>
        <w:t>1</w:t>
      </w:r>
      <w:r>
        <w:rPr>
          <w:rFonts w:hint="eastAsia"/>
        </w:rPr>
        <w:t xml:space="preserve"> 结构方案设计，包含结构选型和构件布置。</w:t>
      </w:r>
    </w:p>
    <w:p>
      <w:pPr>
        <w:ind w:firstLine="316" w:firstLineChars="150"/>
      </w:pPr>
      <w:r>
        <w:rPr>
          <w:rFonts w:hint="eastAsia"/>
          <w:b/>
          <w:bCs/>
        </w:rPr>
        <w:t>2</w:t>
      </w:r>
      <w:r>
        <w:rPr>
          <w:rFonts w:hint="eastAsia"/>
        </w:rPr>
        <w:t xml:space="preserve"> 材料选用及截面选择。</w:t>
      </w:r>
    </w:p>
    <w:p>
      <w:pPr>
        <w:ind w:firstLine="316" w:firstLineChars="150"/>
      </w:pPr>
      <w:r>
        <w:rPr>
          <w:rFonts w:hint="eastAsia"/>
          <w:b/>
          <w:bCs/>
        </w:rPr>
        <w:t>3</w:t>
      </w:r>
      <w:r>
        <w:rPr>
          <w:rFonts w:hint="eastAsia"/>
        </w:rPr>
        <w:t xml:space="preserve"> 荷载及作用效应分析。</w:t>
      </w:r>
    </w:p>
    <w:p>
      <w:pPr>
        <w:ind w:firstLine="316" w:firstLineChars="150"/>
      </w:pPr>
      <w:r>
        <w:rPr>
          <w:rFonts w:hint="eastAsia"/>
          <w:b/>
          <w:bCs/>
        </w:rPr>
        <w:t>4</w:t>
      </w:r>
      <w:r>
        <w:rPr>
          <w:rFonts w:hint="eastAsia"/>
        </w:rPr>
        <w:t xml:space="preserve"> 结构的极限状态验算。</w:t>
      </w:r>
    </w:p>
    <w:p>
      <w:pPr>
        <w:ind w:firstLine="316" w:firstLineChars="150"/>
      </w:pPr>
      <w:r>
        <w:rPr>
          <w:rFonts w:hint="eastAsia"/>
          <w:b/>
          <w:bCs/>
        </w:rPr>
        <w:t>5</w:t>
      </w:r>
      <w:r>
        <w:rPr>
          <w:rFonts w:hint="eastAsia"/>
        </w:rPr>
        <w:t xml:space="preserve"> 结构、构件及连接节点的构造。</w:t>
      </w:r>
    </w:p>
    <w:p>
      <w:pPr>
        <w:ind w:firstLine="316" w:firstLineChars="150"/>
      </w:pPr>
      <w:r>
        <w:rPr>
          <w:rFonts w:hint="eastAsia"/>
          <w:b/>
          <w:bCs/>
        </w:rPr>
        <w:t>6</w:t>
      </w:r>
      <w:r>
        <w:rPr>
          <w:rFonts w:hint="eastAsia"/>
        </w:rPr>
        <w:t xml:space="preserve"> 防腐和防火设计。</w:t>
      </w:r>
    </w:p>
    <w:p>
      <w:pPr>
        <w:ind w:firstLine="316" w:firstLineChars="150"/>
      </w:pPr>
      <w:r>
        <w:rPr>
          <w:rFonts w:hint="eastAsia"/>
          <w:b/>
          <w:bCs/>
        </w:rPr>
        <w:t>7</w:t>
      </w:r>
      <w:r>
        <w:rPr>
          <w:rFonts w:hint="eastAsia"/>
        </w:rPr>
        <w:t xml:space="preserve"> 制作、运输、安装等要求。</w:t>
      </w:r>
    </w:p>
    <w:p>
      <w:pPr>
        <w:ind w:firstLine="316" w:firstLineChars="150"/>
      </w:pPr>
      <w:r>
        <w:rPr>
          <w:rFonts w:hint="eastAsia"/>
          <w:b/>
          <w:bCs/>
        </w:rPr>
        <w:t>8</w:t>
      </w:r>
      <w:r>
        <w:rPr>
          <w:rFonts w:hint="eastAsia"/>
        </w:rPr>
        <w:t xml:space="preserve"> 满足特殊要求的结构性能化设计。</w:t>
      </w:r>
    </w:p>
    <w:p>
      <w:pPr>
        <w:pStyle w:val="74"/>
        <w:ind w:firstLine="400"/>
      </w:pPr>
      <w:r>
        <w:rPr>
          <w:rFonts w:hint="eastAsia"/>
        </w:rPr>
        <w:t>【条文说明】该条引用现行国家标准《钢结构设计标准》GB 50017第3.1.1条。</w:t>
      </w:r>
    </w:p>
    <w:p>
      <w:pPr>
        <w:pStyle w:val="4"/>
        <w:ind w:left="0"/>
      </w:pPr>
      <w:r>
        <w:rPr>
          <w:rFonts w:hint="eastAsia"/>
        </w:rPr>
        <w:t>开孔钢板组合剪力墙结构设计时，应合理选择材料、结构方案和构造措施，满足结构构件在运输、安装和使用过程中的强度、稳定性和刚度要求并应符合防火、防腐蚀要求，宜对钢构件进行通用化和标准化设计。</w:t>
      </w:r>
    </w:p>
    <w:p>
      <w:pPr>
        <w:pStyle w:val="74"/>
        <w:ind w:firstLine="400"/>
      </w:pPr>
      <w:r>
        <w:rPr>
          <w:rFonts w:hint="eastAsia"/>
        </w:rPr>
        <w:t>【条文说明】该条对钢构件的设计内容和通用化标准化设计提出要求。</w:t>
      </w:r>
    </w:p>
    <w:p>
      <w:pPr>
        <w:pStyle w:val="3"/>
        <w:spacing w:before="156" w:after="156"/>
        <w:ind w:firstLine="482"/>
      </w:pPr>
      <w:bookmarkStart w:id="32" w:name="_Toc534197550"/>
      <w:bookmarkStart w:id="33" w:name="_Toc36207155"/>
      <w:bookmarkStart w:id="34" w:name="_Toc11571"/>
      <w:bookmarkStart w:id="35" w:name="_Toc532376143"/>
      <w:bookmarkStart w:id="36" w:name="_Toc532376166"/>
      <w:r>
        <w:rPr>
          <w:rFonts w:hint="eastAsia"/>
        </w:rPr>
        <w:t xml:space="preserve"> 荷载和作用</w:t>
      </w:r>
      <w:bookmarkEnd w:id="32"/>
      <w:bookmarkEnd w:id="33"/>
      <w:bookmarkEnd w:id="34"/>
    </w:p>
    <w:p>
      <w:pPr>
        <w:pStyle w:val="4"/>
        <w:ind w:left="0"/>
      </w:pPr>
      <w:r>
        <w:rPr>
          <w:rFonts w:hint="eastAsia"/>
        </w:rPr>
        <w:t>装配式开孔钢板组合剪力墙结构住宅的楼（屋）面活荷载、施工荷载、检修荷载、风荷载、雪荷载、温度作用等应按现行国家标准《建筑结构荷载规范》GB 50009的有关规定采用，地震作用应按现行国家标准《建筑抗震设计规范》GB 50011的有关规定进行计算。</w:t>
      </w:r>
    </w:p>
    <w:p>
      <w:pPr>
        <w:pStyle w:val="74"/>
        <w:ind w:firstLine="400"/>
      </w:pPr>
      <w:r>
        <w:rPr>
          <w:rFonts w:hint="eastAsia"/>
        </w:rPr>
        <w:t>【条文说明】对结构设计的荷载和作用计算方法进行了规定。</w:t>
      </w:r>
    </w:p>
    <w:p>
      <w:pPr>
        <w:pStyle w:val="4"/>
        <w:ind w:left="0"/>
      </w:pPr>
      <w:r>
        <w:t>荷载和效应的组合应按现行国家标准《建筑结构荷载规范》GB 50009、《建筑抗震设计规范》GB 50011的有关规定执行。</w:t>
      </w:r>
    </w:p>
    <w:p>
      <w:pPr>
        <w:pStyle w:val="4"/>
        <w:ind w:left="0"/>
      </w:pPr>
      <w:r>
        <w:t>外挂墙板的风荷载按照现行行业标准《金属与石材幕墙工程技术规范》JGJ 133或《玻璃幕墙工程技术规范》JGJ 102执行，地震作用计算按现行行业标准《非结构构件抗震设计规范》JGJ 339的有关规定执行。</w:t>
      </w:r>
    </w:p>
    <w:p>
      <w:pPr>
        <w:pStyle w:val="74"/>
        <w:ind w:firstLine="400"/>
      </w:pPr>
      <w:r>
        <w:rPr>
          <w:rFonts w:hint="eastAsia"/>
        </w:rPr>
        <w:t>【条文说明】外挂墙板是独立的非结构构件，其受力和幕墙类似，现在规范未对外挂墙板的风荷载作出特别要求，本标准参考《玻璃幕墙工程技术规范》JGJ 102或《金属与石材幕墙工程技术规范》JGJ 133，且二者的规定是一致的。《非结构构件抗震设计规范》JGJ 339对非结构构件的地震作用计算有明确规定，所以外挂墙板的地震作用参照该规范执行。</w:t>
      </w:r>
    </w:p>
    <w:p>
      <w:pPr>
        <w:pStyle w:val="3"/>
        <w:spacing w:before="156" w:after="156"/>
        <w:ind w:firstLine="482"/>
      </w:pPr>
      <w:bookmarkStart w:id="37" w:name="_Toc12101"/>
      <w:bookmarkStart w:id="38" w:name="_Toc503193731"/>
      <w:bookmarkStart w:id="39" w:name="_Toc534197551"/>
      <w:bookmarkStart w:id="40" w:name="_Toc36207156"/>
      <w:r>
        <w:rPr>
          <w:rFonts w:hint="eastAsia"/>
        </w:rPr>
        <w:t xml:space="preserve"> 结构材料</w:t>
      </w:r>
      <w:bookmarkEnd w:id="37"/>
      <w:bookmarkEnd w:id="38"/>
      <w:bookmarkEnd w:id="39"/>
      <w:bookmarkEnd w:id="40"/>
    </w:p>
    <w:p>
      <w:pPr>
        <w:pStyle w:val="4"/>
        <w:ind w:left="0"/>
      </w:pPr>
      <w:r>
        <w:rPr>
          <w:rFonts w:hint="eastAsia"/>
        </w:rPr>
        <w:t>装配式开孔钢板组合剪力墙结构住宅承重结构的钢材选用应符合下列规定：</w:t>
      </w:r>
    </w:p>
    <w:p>
      <w:pPr>
        <w:ind w:firstLine="316" w:firstLineChars="150"/>
        <w:rPr>
          <w:rFonts w:eastAsiaTheme="minorEastAsia"/>
        </w:rPr>
      </w:pPr>
      <w:r>
        <w:rPr>
          <w:rFonts w:hint="eastAsia"/>
          <w:b/>
        </w:rPr>
        <w:t xml:space="preserve">1 </w:t>
      </w:r>
      <w:r>
        <w:rPr>
          <w:rFonts w:hint="eastAsia"/>
        </w:rPr>
        <w:t>宜采用Q235、Q3</w:t>
      </w:r>
      <w:r>
        <w:t>5</w:t>
      </w:r>
      <w:r>
        <w:rPr>
          <w:rFonts w:hint="eastAsia"/>
        </w:rPr>
        <w:t>5、Q390级钢材。Q235级钢质量应符合现行国家标准《碳素结构钢》GB/T 700，Q3</w:t>
      </w:r>
      <w:r>
        <w:t>5</w:t>
      </w:r>
      <w:r>
        <w:rPr>
          <w:rFonts w:hint="eastAsia"/>
        </w:rPr>
        <w:t>5、Q390级钢材质量应符合现行国家标准《低合金高强度结构钢》GB/T 1591的规定。当有可靠依据时，可采用其它牌号和其他钢种的钢材。</w:t>
      </w:r>
    </w:p>
    <w:p>
      <w:pPr>
        <w:ind w:firstLine="316" w:firstLineChars="150"/>
        <w:rPr>
          <w:rFonts w:eastAsiaTheme="minorEastAsia"/>
        </w:rPr>
      </w:pPr>
      <w:r>
        <w:rPr>
          <w:rFonts w:hint="eastAsia"/>
          <w:b/>
        </w:rPr>
        <w:t xml:space="preserve">2 </w:t>
      </w:r>
      <w:r>
        <w:rPr>
          <w:rFonts w:hint="eastAsia"/>
        </w:rPr>
        <w:t>用于承重结构的钢材，应具有抗拉强度、伸长率、屈服强度、以及硫、磷含量的合格保证。对于焊接结构，尚应具有碳含量的合格保证；对于冷弯薄壁型钢的钢材，尚应具有冷弯试验的合格保证。</w:t>
      </w:r>
    </w:p>
    <w:p>
      <w:pPr>
        <w:ind w:firstLine="316" w:firstLineChars="150"/>
        <w:rPr>
          <w:rFonts w:eastAsiaTheme="minorEastAsia"/>
        </w:rPr>
      </w:pPr>
      <w:r>
        <w:rPr>
          <w:rFonts w:hint="eastAsia"/>
          <w:b/>
        </w:rPr>
        <w:t xml:space="preserve">3 </w:t>
      </w:r>
      <w:r>
        <w:rPr>
          <w:rFonts w:hint="eastAsia"/>
        </w:rPr>
        <w:t>Q235级、Q3</w:t>
      </w:r>
      <w:r>
        <w:t>5</w:t>
      </w:r>
      <w:r>
        <w:rPr>
          <w:rFonts w:hint="eastAsia"/>
        </w:rPr>
        <w:t>5级和Q390级钢材的屈服强度实测值与抗拉强度实测值的比值不应大于0.85，伸长率不应小于20%，并</w:t>
      </w:r>
      <w:r>
        <w:rPr>
          <w:rFonts w:hint="eastAsia" w:ascii="宋体" w:hAnsi="宋体"/>
        </w:rPr>
        <w:t>应有良好的焊接性和合格的冲击韧性。</w:t>
      </w:r>
    </w:p>
    <w:p>
      <w:pPr>
        <w:ind w:firstLine="316" w:firstLineChars="150"/>
      </w:pPr>
      <w:r>
        <w:rPr>
          <w:rFonts w:hint="eastAsia"/>
          <w:b/>
        </w:rPr>
        <w:t xml:space="preserve">4 </w:t>
      </w:r>
      <w:r>
        <w:rPr>
          <w:rFonts w:hint="eastAsia"/>
        </w:rPr>
        <w:t>当建筑结构需要采用满足耐大气腐蚀性能的热轧和冷轧的钢板、钢带和型钢时，钢材质量应符合耐候结构钢现行国家标准《耐候结构钢》GB/T4171的规定。</w:t>
      </w:r>
    </w:p>
    <w:p>
      <w:pPr>
        <w:pStyle w:val="4"/>
        <w:ind w:left="0"/>
      </w:pPr>
      <w:r>
        <w:t>钢材的强度和连接的设计指标应按现行国家标准《钢结构设计标准》GB 50017的相关规定采用。</w:t>
      </w:r>
    </w:p>
    <w:p>
      <w:pPr>
        <w:pStyle w:val="4"/>
        <w:ind w:left="0"/>
      </w:pPr>
      <w:r>
        <w:rPr>
          <w:rFonts w:hint="eastAsia"/>
        </w:rPr>
        <w:t>开孔钢板组合剪力墙焊接采用的材料应符合下列要求：</w:t>
      </w:r>
    </w:p>
    <w:p>
      <w:pPr>
        <w:ind w:firstLine="316" w:firstLineChars="150"/>
      </w:pPr>
      <w:r>
        <w:rPr>
          <w:rFonts w:hint="eastAsia"/>
          <w:b/>
          <w:bCs/>
        </w:rPr>
        <w:t>1</w:t>
      </w:r>
      <w:r>
        <w:rPr>
          <w:rFonts w:hint="eastAsia"/>
        </w:rPr>
        <w:t xml:space="preserve"> 手工焊接用的焊条，应符合现行国家标准《非合金钢及细晶粒钢焊条》GB/T 5117的规定，选择的焊条型号应与主体金属力学性能相适应。</w:t>
      </w:r>
    </w:p>
    <w:p>
      <w:pPr>
        <w:ind w:firstLine="316" w:firstLineChars="150"/>
      </w:pPr>
      <w:r>
        <w:rPr>
          <w:rFonts w:hint="eastAsia"/>
          <w:b/>
          <w:bCs/>
        </w:rPr>
        <w:t>2</w:t>
      </w:r>
      <w:r>
        <w:rPr>
          <w:rFonts w:hint="eastAsia"/>
        </w:rPr>
        <w:t xml:space="preserve"> 自动焊接或半自动焊接用的焊丝，应符合现行国家标准《熔化焊用钢丝》GB/T 14957、《气体保护电弧焊用碳钢、低合金钢焊丝》GB/T 8110、《碳钢药芯焊丝》GB/T 10045、《低合金钢药芯焊丝》GB/T 17493的规定。</w:t>
      </w:r>
    </w:p>
    <w:p>
      <w:pPr>
        <w:ind w:firstLine="316" w:firstLineChars="150"/>
      </w:pPr>
      <w:r>
        <w:rPr>
          <w:rFonts w:hint="eastAsia"/>
          <w:b/>
          <w:bCs/>
        </w:rPr>
        <w:t>3</w:t>
      </w:r>
      <w:r>
        <w:rPr>
          <w:rFonts w:hint="eastAsia"/>
        </w:rPr>
        <w:t xml:space="preserve"> 埋弧焊用焊丝和焊剂应符合现行国家标准《埋弧焊用碳钢焊丝和焊剂》GB/T 5293、《埋弧焊用低合金焊丝和焊剂》GB/T 12470的规定。</w:t>
      </w:r>
    </w:p>
    <w:p>
      <w:pPr>
        <w:ind w:firstLine="316" w:firstLineChars="150"/>
      </w:pPr>
      <w:r>
        <w:rPr>
          <w:rFonts w:hint="eastAsia"/>
          <w:b/>
          <w:bCs/>
        </w:rPr>
        <w:t xml:space="preserve">4 </w:t>
      </w:r>
      <w:r>
        <w:rPr>
          <w:rFonts w:hint="eastAsia"/>
        </w:rPr>
        <w:t>采用电阻焊接时，应当符合现行国家和行业标准《阻焊电阻焊机机械和电气要求》</w:t>
      </w:r>
      <w:r>
        <w:t>GB/T 8366</w:t>
      </w:r>
      <w:r>
        <w:rPr>
          <w:rFonts w:hint="eastAsia"/>
        </w:rPr>
        <w:t>、《电阻凸焊用的凸点》</w:t>
      </w:r>
      <w:r>
        <w:t>JB/T 10258</w:t>
      </w:r>
      <w:r>
        <w:rPr>
          <w:rFonts w:hint="eastAsia"/>
        </w:rPr>
        <w:t>、《焊接及相关工艺方法代号》</w:t>
      </w:r>
      <w:r>
        <w:t>GB/T 5185</w:t>
      </w:r>
      <w:r>
        <w:rPr>
          <w:rFonts w:hint="eastAsia"/>
        </w:rPr>
        <w:t>、《焊缝符号表示法》</w:t>
      </w:r>
      <w:r>
        <w:t>GB/T 324</w:t>
      </w:r>
      <w:r>
        <w:rPr>
          <w:rFonts w:hint="eastAsia"/>
        </w:rPr>
        <w:t>的规定。</w:t>
      </w:r>
    </w:p>
    <w:p>
      <w:pPr>
        <w:pStyle w:val="4"/>
        <w:ind w:left="0"/>
      </w:pPr>
      <w:r>
        <w:rPr>
          <w:rFonts w:hint="eastAsia"/>
        </w:rPr>
        <w:t>开孔钢板组合剪力墙紧固件材料应符合下列要求：</w:t>
      </w:r>
    </w:p>
    <w:p>
      <w:pPr>
        <w:ind w:firstLine="316" w:firstLineChars="150"/>
        <w:rPr>
          <w:rFonts w:eastAsiaTheme="minorEastAsia"/>
        </w:rPr>
      </w:pPr>
      <w:r>
        <w:rPr>
          <w:b/>
          <w:bCs/>
        </w:rPr>
        <w:t>1</w:t>
      </w:r>
      <w:r>
        <w:t xml:space="preserve"> 开孔</w:t>
      </w:r>
      <w:r>
        <w:rPr>
          <w:rFonts w:hint="eastAsia"/>
        </w:rPr>
        <w:t>钢板组合剪力墙结构连接用</w:t>
      </w:r>
      <w:r>
        <w:t xml:space="preserve">4.6 </w:t>
      </w:r>
      <w:r>
        <w:rPr>
          <w:rFonts w:hint="eastAsia"/>
        </w:rPr>
        <w:t>级与</w:t>
      </w:r>
      <w:r>
        <w:t xml:space="preserve">4.8 </w:t>
      </w:r>
      <w:r>
        <w:rPr>
          <w:rFonts w:hint="eastAsia"/>
        </w:rPr>
        <w:t>级普通螺栓（C级螺栓）及</w:t>
      </w:r>
      <w:r>
        <w:t>5.6</w:t>
      </w:r>
      <w:r>
        <w:rPr>
          <w:rFonts w:hint="eastAsia"/>
        </w:rPr>
        <w:t>级与</w:t>
      </w:r>
      <w:r>
        <w:t>8.8</w:t>
      </w:r>
      <w:r>
        <w:rPr>
          <w:rFonts w:hint="eastAsia"/>
        </w:rPr>
        <w:t>级普通螺栓（</w:t>
      </w:r>
      <w:r>
        <w:t>A</w:t>
      </w:r>
      <w:r>
        <w:rPr>
          <w:rFonts w:hint="eastAsia"/>
        </w:rPr>
        <w:t>级或</w:t>
      </w:r>
      <w:r>
        <w:t>B</w:t>
      </w:r>
      <w:r>
        <w:rPr>
          <w:rFonts w:hint="eastAsia"/>
        </w:rPr>
        <w:t>级螺栓）的质量应符合现行国家标准《紧固件机械性能螺栓、螺钉和螺柱》</w:t>
      </w:r>
      <w:r>
        <w:t>GB/T 3098.1</w:t>
      </w:r>
      <w:r>
        <w:rPr>
          <w:rFonts w:hint="eastAsia"/>
        </w:rPr>
        <w:t>和《紧固件公差螺栓、螺钉、螺柱和螺母》</w:t>
      </w:r>
      <w:r>
        <w:t>GB/T 3103. 1</w:t>
      </w:r>
      <w:r>
        <w:rPr>
          <w:rFonts w:hint="eastAsia"/>
        </w:rPr>
        <w:t>的规定。</w:t>
      </w:r>
      <w:r>
        <w:t>C</w:t>
      </w:r>
      <w:r>
        <w:rPr>
          <w:rFonts w:hint="eastAsia"/>
        </w:rPr>
        <w:t>级螺栓与</w:t>
      </w:r>
      <w:r>
        <w:t>A</w:t>
      </w:r>
      <w:r>
        <w:rPr>
          <w:rFonts w:hint="eastAsia"/>
        </w:rPr>
        <w:t>级、</w:t>
      </w:r>
      <w:r>
        <w:t>B</w:t>
      </w:r>
      <w:r>
        <w:rPr>
          <w:rFonts w:hint="eastAsia"/>
        </w:rPr>
        <w:t>级螺栓的规格和尺寸应分别符合现行国家标准《六角头螺栓</w:t>
      </w:r>
      <w:r>
        <w:t>C</w:t>
      </w:r>
      <w:r>
        <w:rPr>
          <w:rFonts w:hint="eastAsia"/>
        </w:rPr>
        <w:t>级》</w:t>
      </w:r>
      <w:r>
        <w:t>GB/T 5780</w:t>
      </w:r>
      <w:r>
        <w:rPr>
          <w:rFonts w:hint="eastAsia"/>
        </w:rPr>
        <w:t>与《六角头螺栓》</w:t>
      </w:r>
      <w:r>
        <w:t>GB/T 5782</w:t>
      </w:r>
      <w:r>
        <w:rPr>
          <w:rFonts w:hint="eastAsia"/>
        </w:rPr>
        <w:t>的规定。</w:t>
      </w:r>
    </w:p>
    <w:p>
      <w:pPr>
        <w:ind w:firstLine="316" w:firstLineChars="150"/>
        <w:rPr>
          <w:rFonts w:eastAsiaTheme="minorEastAsia"/>
        </w:rPr>
      </w:pPr>
      <w:r>
        <w:rPr>
          <w:b/>
          <w:bCs/>
        </w:rPr>
        <w:t>2</w:t>
      </w:r>
      <w:r>
        <w:rPr>
          <w:rFonts w:hint="eastAsia"/>
        </w:rPr>
        <w:t>圆柱头焊（栓）钉连接件的质量应符合现行国家标准《电弧螺柱焊用圆柱头焊钉》</w:t>
      </w:r>
      <w:r>
        <w:t>GB/T 10433</w:t>
      </w:r>
      <w:r>
        <w:rPr>
          <w:rFonts w:hint="eastAsia"/>
        </w:rPr>
        <w:t>的规定。</w:t>
      </w:r>
    </w:p>
    <w:p>
      <w:pPr>
        <w:ind w:firstLine="316" w:firstLineChars="150"/>
        <w:rPr>
          <w:rFonts w:eastAsiaTheme="minorEastAsia"/>
        </w:rPr>
      </w:pPr>
      <w:r>
        <w:rPr>
          <w:b/>
          <w:bCs/>
        </w:rPr>
        <w:t>3</w:t>
      </w:r>
      <w:r>
        <w:rPr>
          <w:rFonts w:hint="eastAsia"/>
        </w:rPr>
        <w:t>大六角高强度螺栓的质量应符合现行国家标准《钢结构用高强度大六角头螺栓》</w:t>
      </w:r>
      <w:r>
        <w:t>GB/T 1228</w:t>
      </w:r>
      <w:r>
        <w:rPr>
          <w:rFonts w:hint="eastAsia"/>
        </w:rPr>
        <w:t>、《钢结构用高强度大六角螺母》</w:t>
      </w:r>
      <w:r>
        <w:t>GB/T 1229</w:t>
      </w:r>
      <w:r>
        <w:rPr>
          <w:rFonts w:hint="eastAsia"/>
        </w:rPr>
        <w:t>、《钢结构用高强度垫圈》</w:t>
      </w:r>
      <w:r>
        <w:t>GB/T 1230</w:t>
      </w:r>
      <w:r>
        <w:rPr>
          <w:rFonts w:hint="eastAsia"/>
        </w:rPr>
        <w:t>、《钢结构用高强度大六角头螺栓、大六角螺母、垫圈技术条件》</w:t>
      </w:r>
      <w:r>
        <w:t>GB/T 1231</w:t>
      </w:r>
      <w:r>
        <w:rPr>
          <w:rFonts w:hint="eastAsia"/>
        </w:rPr>
        <w:t>的规定。扭剪型高强度螺栓的质量应符合现行国家标准《钢结构用扭剪型高强度螺栓连接副》</w:t>
      </w:r>
      <w:r>
        <w:t>GB/T 3632</w:t>
      </w:r>
      <w:r>
        <w:rPr>
          <w:rFonts w:hint="eastAsia"/>
        </w:rPr>
        <w:t>的规定。</w:t>
      </w:r>
    </w:p>
    <w:p>
      <w:pPr>
        <w:pStyle w:val="4"/>
        <w:ind w:left="0"/>
      </w:pPr>
      <w:r>
        <w:rPr>
          <w:rFonts w:hint="eastAsia"/>
        </w:rPr>
        <w:t>开孔钢板组合剪力墙可采用普通混凝土，也可以采用自密实混凝土。混凝土设计指标应符合现行国家标准《混凝土结构设计规范》GB 50010的规定。自密实混凝土的配合比设计、施工、质量检验和验收应符合现行行业标准《自密实混凝土应用技术规程》JGJ/T 283的规定。</w:t>
      </w:r>
    </w:p>
    <w:p>
      <w:pPr>
        <w:pStyle w:val="4"/>
        <w:ind w:left="0"/>
      </w:pPr>
      <w:r>
        <w:t>开孔钢板组合剪力墙采用的混凝土强度等级不宜低于C30。</w:t>
      </w:r>
    </w:p>
    <w:p>
      <w:pPr>
        <w:pStyle w:val="4"/>
        <w:ind w:left="0"/>
      </w:pPr>
      <w:r>
        <w:t>钢筋的设计指标应符合现行国家标准《混凝土结构设计规范》GB 50010的规定。</w:t>
      </w:r>
    </w:p>
    <w:p>
      <w:pPr>
        <w:pStyle w:val="3"/>
        <w:spacing w:before="156" w:after="156" w:line="360" w:lineRule="auto"/>
        <w:ind w:firstLine="482"/>
      </w:pPr>
      <w:bookmarkStart w:id="41" w:name="_Toc28362"/>
      <w:bookmarkStart w:id="42" w:name="_Toc36207157"/>
      <w:r>
        <w:rPr>
          <w:rFonts w:hint="eastAsia"/>
        </w:rPr>
        <w:t xml:space="preserve"> 结构分析与设计原则</w:t>
      </w:r>
      <w:bookmarkEnd w:id="35"/>
      <w:bookmarkEnd w:id="36"/>
      <w:bookmarkEnd w:id="41"/>
      <w:bookmarkEnd w:id="42"/>
    </w:p>
    <w:p>
      <w:pPr>
        <w:pStyle w:val="4"/>
        <w:ind w:left="0"/>
        <w:rPr>
          <w:rFonts w:eastAsia="方正仿宋_GBK"/>
          <w:szCs w:val="28"/>
        </w:rPr>
      </w:pPr>
      <w:r>
        <w:rPr>
          <w:rFonts w:hint="eastAsia"/>
        </w:rPr>
        <w:t>开孔钢板组合剪力墙结构应按承载能力极限状态和正常使用极限状态进行设计，按承载能力极限状态设计时，应考虑荷载效应的基本组合，必要时尚应考虑荷载效应的偶然组合，按正常使用极限状态设计时，应考虑荷载效应的标准组合。</w:t>
      </w:r>
    </w:p>
    <w:p>
      <w:pPr>
        <w:pStyle w:val="74"/>
        <w:ind w:firstLine="400"/>
      </w:pPr>
      <w:r>
        <w:rPr>
          <w:rFonts w:hint="eastAsia"/>
        </w:rPr>
        <w:t>【条文说明】该条综合现行国家及行业标准《钢结构设计标准》GB 50017第3.1.3条、3.1.5条，《钢管混凝土结构技术规范》GB 50936第4.2.2条，《组合结构设计规范》JGJ 138第4.3.2条。</w:t>
      </w:r>
    </w:p>
    <w:p>
      <w:pPr>
        <w:pStyle w:val="4"/>
        <w:ind w:left="0"/>
        <w:rPr>
          <w:rFonts w:eastAsia="方正仿宋_GBK"/>
          <w:szCs w:val="28"/>
        </w:rPr>
      </w:pPr>
      <w:r>
        <w:rPr>
          <w:rFonts w:hint="eastAsia"/>
        </w:rPr>
        <w:t>开孔钢板组合剪力墙结构的安全等级、可靠指标和设计使用年限应符合现行国家标准《建筑结构可靠度设计统一标准》GB 50068和《工程结构可靠性设计统一标准》GB 50153的规定，</w:t>
      </w:r>
      <w:r>
        <w:t>结构设计安全等级不应低于二级</w:t>
      </w:r>
      <w:r>
        <w:rPr>
          <w:rFonts w:hint="eastAsia"/>
        </w:rPr>
        <w:t>，</w:t>
      </w:r>
      <w:r>
        <w:t>正常使用年限不应少于50年。</w:t>
      </w:r>
    </w:p>
    <w:p>
      <w:pPr>
        <w:pStyle w:val="74"/>
        <w:ind w:firstLine="400"/>
      </w:pPr>
      <w:r>
        <w:rPr>
          <w:rFonts w:hint="eastAsia"/>
        </w:rPr>
        <w:t>【条文说明】该条引用现行国家标准《钢结构设计标准》GB 50017第3.1.4条。</w:t>
      </w:r>
    </w:p>
    <w:p>
      <w:pPr>
        <w:pStyle w:val="4"/>
        <w:ind w:left="0"/>
      </w:pPr>
      <w:r>
        <w:rPr>
          <w:rFonts w:hint="eastAsia"/>
        </w:rPr>
        <w:t>开孔钢板组合剪力墙结构构件、连接节点的承载力应按下列公式验算：</w:t>
      </w:r>
    </w:p>
    <w:p>
      <w:pPr>
        <w:ind w:firstLine="316" w:firstLineChars="150"/>
      </w:pPr>
      <w:r>
        <w:rPr>
          <w:rFonts w:hint="eastAsia"/>
          <w:b/>
          <w:bCs/>
        </w:rPr>
        <w:t>1</w:t>
      </w:r>
      <w:r>
        <w:rPr>
          <w:rFonts w:hint="eastAsia"/>
        </w:rPr>
        <w:t xml:space="preserve"> 持久设计状况、短暂设计状况：</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40" w:type="dxa"/>
            <w:tcBorders>
              <w:tl2br w:val="nil"/>
              <w:tr2bl w:val="nil"/>
            </w:tcBorders>
          </w:tcPr>
          <w:p>
            <w:pPr>
              <w:ind w:firstLine="360"/>
            </w:pPr>
          </w:p>
        </w:tc>
        <w:tc>
          <w:tcPr>
            <w:tcW w:w="2841" w:type="dxa"/>
            <w:tcBorders>
              <w:tl2br w:val="nil"/>
              <w:tr2bl w:val="nil"/>
            </w:tcBorders>
          </w:tcPr>
          <w:p>
            <w:pPr>
              <w:jc w:val="center"/>
            </w:pPr>
            <w:r>
              <w:rPr>
                <w:position w:val="-10"/>
                <w:sz w:val="21"/>
                <w:szCs w:val="21"/>
              </w:rPr>
              <w:object>
                <v:shape id="_x0000_i1034" o:spt="75" type="#_x0000_t75" style="height:15.9pt;width:34.35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4" r:id="rId35">
                  <o:LockedField>false</o:LockedField>
                </o:OLEObject>
              </w:object>
            </w:r>
          </w:p>
        </w:tc>
        <w:tc>
          <w:tcPr>
            <w:tcW w:w="2841" w:type="dxa"/>
            <w:tcBorders>
              <w:tl2br w:val="nil"/>
              <w:tr2bl w:val="nil"/>
            </w:tcBorders>
          </w:tcPr>
          <w:p>
            <w:pPr>
              <w:ind w:firstLine="0" w:firstLineChars="0"/>
              <w:jc w:val="right"/>
            </w:pPr>
            <w:r>
              <w:rPr>
                <w:rFonts w:hint="eastAsia" w:ascii="宋体" w:hAnsi="宋体" w:cs="宋体"/>
              </w:rPr>
              <w:t>（</w:t>
            </w:r>
            <w:r>
              <w:rPr>
                <w:rFonts w:hint="eastAsia"/>
              </w:rPr>
              <w:t>5.4.3-1</w:t>
            </w:r>
            <w:r>
              <w:rPr>
                <w:rFonts w:hint="eastAsia" w:ascii="宋体" w:hAnsi="宋体" w:cs="宋体"/>
              </w:rPr>
              <w:t>）</w:t>
            </w:r>
          </w:p>
        </w:tc>
      </w:tr>
    </w:tbl>
    <w:p>
      <w:pPr>
        <w:ind w:firstLine="316" w:firstLineChars="150"/>
      </w:pPr>
      <w:r>
        <w:rPr>
          <w:rFonts w:hint="eastAsia"/>
          <w:b/>
          <w:bCs/>
        </w:rPr>
        <w:t>2</w:t>
      </w:r>
      <w:r>
        <w:rPr>
          <w:rFonts w:hint="eastAsia"/>
        </w:rPr>
        <w:t xml:space="preserve"> 地震设计状况：</w:t>
      </w:r>
    </w:p>
    <w:p>
      <w:r>
        <w:rPr>
          <w:rFonts w:hint="eastAsia"/>
        </w:rPr>
        <w:t>多遇地震</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tcPr>
          <w:p>
            <w:pPr>
              <w:ind w:firstLine="360"/>
            </w:pPr>
          </w:p>
        </w:tc>
        <w:tc>
          <w:tcPr>
            <w:tcW w:w="2841" w:type="dxa"/>
            <w:tcBorders>
              <w:tl2br w:val="nil"/>
              <w:tr2bl w:val="nil"/>
            </w:tcBorders>
          </w:tcPr>
          <w:p>
            <w:pPr>
              <w:jc w:val="center"/>
            </w:pPr>
            <w:r>
              <w:rPr>
                <w:position w:val="-10"/>
                <w:sz w:val="21"/>
                <w:szCs w:val="21"/>
              </w:rPr>
              <w:object>
                <v:shape id="_x0000_i1035" o:spt="75" type="#_x0000_t75" style="height:15.9pt;width:45.2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p>
        </w:tc>
        <w:tc>
          <w:tcPr>
            <w:tcW w:w="2841" w:type="dxa"/>
            <w:tcBorders>
              <w:tl2br w:val="nil"/>
              <w:tr2bl w:val="nil"/>
            </w:tcBorders>
          </w:tcPr>
          <w:p>
            <w:pPr>
              <w:ind w:firstLine="0" w:firstLineChars="0"/>
              <w:jc w:val="right"/>
            </w:pPr>
            <w:r>
              <w:rPr>
                <w:rFonts w:hint="eastAsia" w:ascii="宋体" w:hAnsi="宋体" w:cs="宋体"/>
              </w:rPr>
              <w:t>（</w:t>
            </w:r>
            <w:r>
              <w:rPr>
                <w:rFonts w:hint="eastAsia"/>
              </w:rPr>
              <w:t>5.4.3-2</w:t>
            </w:r>
            <w:r>
              <w:rPr>
                <w:rFonts w:hint="eastAsia" w:ascii="宋体" w:hAnsi="宋体" w:cs="宋体"/>
              </w:rPr>
              <w:t>）</w:t>
            </w:r>
          </w:p>
        </w:tc>
      </w:tr>
    </w:tbl>
    <w:p>
      <w:r>
        <w:rPr>
          <w:rFonts w:hint="eastAsia"/>
        </w:rPr>
        <w:t>设防地震</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840" w:type="dxa"/>
            <w:tcBorders>
              <w:tl2br w:val="nil"/>
              <w:tr2bl w:val="nil"/>
            </w:tcBorders>
          </w:tcPr>
          <w:p>
            <w:pPr>
              <w:ind w:firstLine="360"/>
            </w:pPr>
          </w:p>
        </w:tc>
        <w:tc>
          <w:tcPr>
            <w:tcW w:w="2841" w:type="dxa"/>
            <w:tcBorders>
              <w:tl2br w:val="nil"/>
              <w:tr2bl w:val="nil"/>
            </w:tcBorders>
          </w:tcPr>
          <w:p>
            <w:pPr>
              <w:jc w:val="center"/>
            </w:pPr>
            <w:r>
              <w:rPr>
                <w:position w:val="-10"/>
                <w:sz w:val="21"/>
                <w:szCs w:val="21"/>
              </w:rPr>
              <w:object>
                <v:shape id="_x0000_i1036" o:spt="75" type="#_x0000_t75" style="height:15.9pt;width:30.1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p>
        </w:tc>
        <w:tc>
          <w:tcPr>
            <w:tcW w:w="2841" w:type="dxa"/>
            <w:tcBorders>
              <w:tl2br w:val="nil"/>
              <w:tr2bl w:val="nil"/>
            </w:tcBorders>
          </w:tcPr>
          <w:p>
            <w:pPr>
              <w:ind w:firstLine="0" w:firstLineChars="0"/>
              <w:jc w:val="right"/>
            </w:pPr>
            <w:r>
              <w:rPr>
                <w:rFonts w:hint="eastAsia" w:ascii="宋体" w:hAnsi="宋体" w:cs="宋体"/>
              </w:rPr>
              <w:t>（</w:t>
            </w:r>
            <w:r>
              <w:rPr>
                <w:rFonts w:hint="eastAsia"/>
              </w:rPr>
              <w:t>5.4.3-3</w:t>
            </w:r>
            <w:r>
              <w:rPr>
                <w:rFonts w:hint="eastAsia" w:ascii="宋体" w:hAnsi="宋体" w:cs="宋体"/>
              </w:rPr>
              <w:t>）</w:t>
            </w:r>
          </w:p>
        </w:tc>
      </w:tr>
    </w:tbl>
    <w:tbl>
      <w:tblPr>
        <w:tblStyle w:val="43"/>
        <w:tblW w:w="8019" w:type="dxa"/>
        <w:tblInd w:w="504" w:type="dxa"/>
        <w:tblLayout w:type="fixed"/>
        <w:tblCellMar>
          <w:top w:w="0" w:type="dxa"/>
          <w:left w:w="108" w:type="dxa"/>
          <w:bottom w:w="0" w:type="dxa"/>
          <w:right w:w="108" w:type="dxa"/>
        </w:tblCellMar>
      </w:tblPr>
      <w:tblGrid>
        <w:gridCol w:w="909"/>
        <w:gridCol w:w="395"/>
        <w:gridCol w:w="669"/>
        <w:gridCol w:w="6046"/>
      </w:tblGrid>
      <w:tr>
        <w:tblPrEx>
          <w:tblCellMar>
            <w:top w:w="0" w:type="dxa"/>
            <w:left w:w="108" w:type="dxa"/>
            <w:bottom w:w="0" w:type="dxa"/>
            <w:right w:w="108" w:type="dxa"/>
          </w:tblCellMar>
        </w:tblPrEx>
        <w:tc>
          <w:tcPr>
            <w:tcW w:w="909" w:type="dxa"/>
          </w:tcPr>
          <w:p>
            <w:pPr>
              <w:ind w:firstLine="0" w:firstLineChars="0"/>
            </w:pPr>
            <w:r>
              <w:rPr>
                <w:rFonts w:hint="eastAsia"/>
              </w:rPr>
              <w:t>式中</w:t>
            </w:r>
            <w:r>
              <w:t>：</w:t>
            </w:r>
          </w:p>
        </w:tc>
        <w:tc>
          <w:tcPr>
            <w:tcW w:w="395" w:type="dxa"/>
          </w:tcPr>
          <w:p>
            <w:pPr>
              <w:ind w:firstLine="0" w:firstLineChars="0"/>
            </w:pPr>
            <w:r>
              <w:rPr>
                <w:position w:val="-10"/>
              </w:rPr>
              <w:object>
                <v:shape id="_x0000_i1037" o:spt="75" type="#_x0000_t75" style="height:17.6pt;width:10.9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p>
        </w:tc>
        <w:tc>
          <w:tcPr>
            <w:tcW w:w="669" w:type="dxa"/>
          </w:tcPr>
          <w:p>
            <w:pPr>
              <w:ind w:firstLine="0" w:firstLineChars="0"/>
              <w:jc w:val="both"/>
            </w:pPr>
            <w:r>
              <w:t>——</w:t>
            </w:r>
          </w:p>
        </w:tc>
        <w:tc>
          <w:tcPr>
            <w:tcW w:w="6046" w:type="dxa"/>
          </w:tcPr>
          <w:p>
            <w:pPr>
              <w:ind w:firstLine="0" w:firstLineChars="0"/>
            </w:pPr>
            <w:r>
              <w:rPr>
                <w:rFonts w:hint="eastAsia"/>
              </w:rPr>
              <w:t>结构重要性系数，对安全等级为一级的结构构件，不应小于1.1；对安全等级为二级的结构构件，不应小于1.0；</w:t>
            </w:r>
          </w:p>
        </w:tc>
      </w:tr>
      <w:tr>
        <w:tblPrEx>
          <w:tblCellMar>
            <w:top w:w="0" w:type="dxa"/>
            <w:left w:w="108" w:type="dxa"/>
            <w:bottom w:w="0" w:type="dxa"/>
            <w:right w:w="108" w:type="dxa"/>
          </w:tblCellMar>
        </w:tblPrEx>
        <w:tc>
          <w:tcPr>
            <w:tcW w:w="909" w:type="dxa"/>
          </w:tcPr>
          <w:p/>
        </w:tc>
        <w:tc>
          <w:tcPr>
            <w:tcW w:w="395" w:type="dxa"/>
          </w:tcPr>
          <w:p>
            <w:pPr>
              <w:ind w:firstLine="0" w:firstLineChars="0"/>
            </w:pPr>
            <w:r>
              <w:rPr>
                <w:rFonts w:hint="eastAsia"/>
                <w:position w:val="-6"/>
              </w:rPr>
              <w:object>
                <v:shape id="_x0000_i1038" o:spt="75" type="#_x0000_t75" style="height:12.55pt;width:10.05pt;" o:ole="t" filled="f" o:preferrelative="t" stroked="f" coordsize="21600,21600">
                  <v:path/>
                  <v:fill on="f" focussize="0,0"/>
                  <v:stroke on="f" joinstyle="miter"/>
                  <v:imagedata r:id="rId44" o:title=""/>
                  <o:lock v:ext="edit" aspectratio="f"/>
                  <w10:wrap type="none"/>
                  <w10:anchorlock/>
                </v:shape>
                <o:OLEObject Type="Embed" ProgID="Equation.DSMT4" ShapeID="_x0000_i1038" DrawAspect="Content" ObjectID="_1468075738" r:id="rId43">
                  <o:LockedField>false</o:LockedField>
                </o:OLEObject>
              </w:object>
            </w:r>
          </w:p>
        </w:tc>
        <w:tc>
          <w:tcPr>
            <w:tcW w:w="669" w:type="dxa"/>
          </w:tcPr>
          <w:p>
            <w:pPr>
              <w:ind w:firstLine="0" w:firstLineChars="0"/>
              <w:jc w:val="both"/>
            </w:pPr>
            <w:r>
              <w:t>——</w:t>
            </w:r>
          </w:p>
        </w:tc>
        <w:tc>
          <w:tcPr>
            <w:tcW w:w="6046" w:type="dxa"/>
          </w:tcPr>
          <w:p>
            <w:pPr>
              <w:ind w:firstLine="0" w:firstLineChars="0"/>
            </w:pPr>
            <w:r>
              <w:rPr>
                <w:rFonts w:hint="eastAsia"/>
              </w:rPr>
              <w:t>承载能力极限状况下作用组合的效应设计值：对持久或短暂设计状况应按作用的基本组合计算；对地震设计状况应按作用的地震组合计算；</w:t>
            </w:r>
          </w:p>
        </w:tc>
      </w:tr>
      <w:tr>
        <w:tblPrEx>
          <w:tblCellMar>
            <w:top w:w="0" w:type="dxa"/>
            <w:left w:w="108" w:type="dxa"/>
            <w:bottom w:w="0" w:type="dxa"/>
            <w:right w:w="108" w:type="dxa"/>
          </w:tblCellMar>
        </w:tblPrEx>
        <w:tc>
          <w:tcPr>
            <w:tcW w:w="909" w:type="dxa"/>
          </w:tcPr>
          <w:p/>
        </w:tc>
        <w:tc>
          <w:tcPr>
            <w:tcW w:w="395" w:type="dxa"/>
          </w:tcPr>
          <w:p>
            <w:pPr>
              <w:ind w:firstLine="0" w:firstLineChars="0"/>
            </w:pPr>
            <w:r>
              <w:rPr>
                <w:position w:val="-4"/>
              </w:rPr>
              <w:object>
                <v:shape id="_x0000_i1039" o:spt="75" type="#_x0000_t75" style="height:10.9pt;width:10.9pt;" o:ole="t" filled="f" o:preferrelative="t" stroked="f" coordsize="21600,21600">
                  <v:path/>
                  <v:fill on="f" focussize="0,0"/>
                  <v:stroke on="f" joinstyle="miter"/>
                  <v:imagedata r:id="rId46" o:title=""/>
                  <o:lock v:ext="edit" aspectratio="f"/>
                  <w10:wrap type="none"/>
                  <w10:anchorlock/>
                </v:shape>
                <o:OLEObject Type="Embed" ProgID="Equation.DSMT4" ShapeID="_x0000_i1039" DrawAspect="Content" ObjectID="_1468075739" r:id="rId45">
                  <o:LockedField>false</o:LockedField>
                </o:OLEObject>
              </w:object>
            </w:r>
          </w:p>
        </w:tc>
        <w:tc>
          <w:tcPr>
            <w:tcW w:w="669" w:type="dxa"/>
          </w:tcPr>
          <w:p>
            <w:pPr>
              <w:ind w:firstLine="0" w:firstLineChars="0"/>
              <w:jc w:val="both"/>
            </w:pPr>
            <w:r>
              <w:t>——</w:t>
            </w:r>
          </w:p>
        </w:tc>
        <w:tc>
          <w:tcPr>
            <w:tcW w:w="6046" w:type="dxa"/>
          </w:tcPr>
          <w:p>
            <w:pPr>
              <w:ind w:firstLine="0" w:firstLineChars="0"/>
            </w:pPr>
            <w:r>
              <w:rPr>
                <w:rFonts w:hint="eastAsia"/>
              </w:rPr>
              <w:t>结构构件、连接节点的承载力设计值；</w:t>
            </w:r>
          </w:p>
        </w:tc>
      </w:tr>
      <w:tr>
        <w:tblPrEx>
          <w:tblCellMar>
            <w:top w:w="0" w:type="dxa"/>
            <w:left w:w="108" w:type="dxa"/>
            <w:bottom w:w="0" w:type="dxa"/>
            <w:right w:w="108" w:type="dxa"/>
          </w:tblCellMar>
        </w:tblPrEx>
        <w:tc>
          <w:tcPr>
            <w:tcW w:w="909" w:type="dxa"/>
          </w:tcPr>
          <w:p/>
        </w:tc>
        <w:tc>
          <w:tcPr>
            <w:tcW w:w="395" w:type="dxa"/>
          </w:tcPr>
          <w:p>
            <w:pPr>
              <w:ind w:firstLine="0" w:firstLineChars="0"/>
            </w:pPr>
            <w:r>
              <w:rPr>
                <w:position w:val="-10"/>
              </w:rPr>
              <w:object>
                <v:shape id="_x0000_i1040" o:spt="75" type="#_x0000_t75" style="height:15.05pt;width:13.4pt;" o:ole="t" filled="f" o:preferrelative="t" stroked="f" coordsize="21600,21600">
                  <v:path/>
                  <v:fill on="f" focussize="0,0"/>
                  <v:stroke on="f" joinstyle="miter"/>
                  <v:imagedata r:id="rId48" o:title=""/>
                  <o:lock v:ext="edit" aspectratio="f"/>
                  <w10:wrap type="none"/>
                  <w10:anchorlock/>
                </v:shape>
                <o:OLEObject Type="Embed" ProgID="Equation.DSMT4" ShapeID="_x0000_i1040" DrawAspect="Content" ObjectID="_1468075740" r:id="rId47">
                  <o:LockedField>false</o:LockedField>
                </o:OLEObject>
              </w:object>
            </w:r>
          </w:p>
        </w:tc>
        <w:tc>
          <w:tcPr>
            <w:tcW w:w="669" w:type="dxa"/>
          </w:tcPr>
          <w:p>
            <w:pPr>
              <w:ind w:firstLine="0" w:firstLineChars="0"/>
              <w:jc w:val="both"/>
            </w:pPr>
            <w:r>
              <w:t>——</w:t>
            </w:r>
          </w:p>
        </w:tc>
        <w:tc>
          <w:tcPr>
            <w:tcW w:w="6046" w:type="dxa"/>
          </w:tcPr>
          <w:p>
            <w:pPr>
              <w:ind w:firstLine="0" w:firstLineChars="0"/>
              <w:jc w:val="both"/>
            </w:pPr>
            <w:r>
              <w:rPr>
                <w:rFonts w:hint="eastAsia"/>
              </w:rPr>
              <w:t>结构构件、连接节点的承载力标准值；</w:t>
            </w:r>
          </w:p>
        </w:tc>
      </w:tr>
      <w:tr>
        <w:tblPrEx>
          <w:tblCellMar>
            <w:top w:w="0" w:type="dxa"/>
            <w:left w:w="108" w:type="dxa"/>
            <w:bottom w:w="0" w:type="dxa"/>
            <w:right w:w="108" w:type="dxa"/>
          </w:tblCellMar>
        </w:tblPrEx>
        <w:tc>
          <w:tcPr>
            <w:tcW w:w="909" w:type="dxa"/>
          </w:tcPr>
          <w:p/>
        </w:tc>
        <w:tc>
          <w:tcPr>
            <w:tcW w:w="395" w:type="dxa"/>
          </w:tcPr>
          <w:p>
            <w:pPr>
              <w:ind w:firstLine="0" w:firstLineChars="0"/>
            </w:pPr>
            <w:r>
              <w:rPr>
                <w:position w:val="-10"/>
              </w:rPr>
              <w:object>
                <v:shape id="_x0000_i1041" o:spt="75" type="#_x0000_t75" style="height:14.25pt;width:15.9pt;" o:ole="t" filled="f" o:preferrelative="t" stroked="f" coordsize="21600,21600">
                  <v:path/>
                  <v:fill on="f" focussize="0,0"/>
                  <v:stroke on="f" joinstyle="miter"/>
                  <v:imagedata r:id="rId50" o:title=""/>
                  <o:lock v:ext="edit" aspectratio="f"/>
                  <w10:wrap type="none"/>
                  <w10:anchorlock/>
                </v:shape>
                <o:OLEObject Type="Embed" ProgID="Equation.DSMT4" ShapeID="_x0000_i1041" DrawAspect="Content" ObjectID="_1468075741" r:id="rId49">
                  <o:LockedField>false</o:LockedField>
                </o:OLEObject>
              </w:object>
            </w:r>
          </w:p>
        </w:tc>
        <w:tc>
          <w:tcPr>
            <w:tcW w:w="669" w:type="dxa"/>
          </w:tcPr>
          <w:p>
            <w:pPr>
              <w:ind w:firstLine="0" w:firstLineChars="0"/>
              <w:jc w:val="both"/>
            </w:pPr>
            <w:r>
              <w:t>——</w:t>
            </w:r>
          </w:p>
        </w:tc>
        <w:tc>
          <w:tcPr>
            <w:tcW w:w="6046" w:type="dxa"/>
          </w:tcPr>
          <w:p>
            <w:pPr>
              <w:ind w:firstLine="0" w:firstLineChars="0"/>
            </w:pPr>
            <w:r>
              <w:rPr>
                <w:rFonts w:hint="eastAsia"/>
              </w:rPr>
              <w:t>构件承载力抗震调整系数。</w:t>
            </w:r>
          </w:p>
        </w:tc>
      </w:tr>
    </w:tbl>
    <w:p>
      <w:pPr>
        <w:pStyle w:val="74"/>
        <w:ind w:firstLine="400"/>
      </w:pPr>
      <w:r>
        <w:rPr>
          <w:rFonts w:hint="eastAsia"/>
        </w:rPr>
        <w:t>【条文说明】该条引用现行国家标准《钢结构设计标准》GB 50017第3.1.9条，式（5.4.3-3）用于抗震性能化设计的开孔钢板组合剪力墙结构。</w:t>
      </w:r>
    </w:p>
    <w:p>
      <w:pPr>
        <w:pStyle w:val="4"/>
        <w:ind w:left="0"/>
      </w:pPr>
      <w:r>
        <w:rPr>
          <w:rFonts w:hint="eastAsia"/>
        </w:rPr>
        <w:t>开孔钢板组合剪力墙构件的抗震调整系数应按表5.4.4采用。</w:t>
      </w:r>
    </w:p>
    <w:p>
      <w:pPr>
        <w:pStyle w:val="71"/>
        <w:ind w:firstLine="361"/>
      </w:pPr>
      <w:r>
        <w:rPr>
          <w:rFonts w:hint="eastAsia"/>
        </w:rPr>
        <w:t>表5.4.4 承载力抗震调整系数</w:t>
      </w:r>
      <w:r>
        <w:rPr>
          <w:position w:val="-10"/>
        </w:rPr>
        <w:object>
          <v:shape id="_x0000_i1042" o:spt="75" type="#_x0000_t75" style="height:15.9pt;width:18.4pt;" o:ole="t" filled="f" o:preferrelative="t" stroked="f" coordsize="21600,21600">
            <v:path/>
            <v:fill on="f" focussize="0,0"/>
            <v:stroke on="f" joinstyle="miter"/>
            <v:imagedata r:id="rId52" o:title=""/>
            <o:lock v:ext="edit" aspectratio="t"/>
            <w10:wrap type="none"/>
            <w10:anchorlock/>
          </v:shape>
          <o:OLEObject Type="Embed" ProgID="Equation.DSMT4" ShapeID="_x0000_i1042" DrawAspect="Content" ObjectID="_1468075742" r:id="rId51">
            <o:LockedField>false</o:LockedField>
          </o:OLEObject>
        </w:objec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77"/>
        <w:gridCol w:w="2329"/>
        <w:gridCol w:w="2061"/>
        <w:gridCol w:w="204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7" w:type="dxa"/>
            <w:vMerge w:val="restart"/>
            <w:tcBorders>
              <w:tl2br w:val="nil"/>
              <w:tr2bl w:val="nil"/>
            </w:tcBorders>
            <w:vAlign w:val="center"/>
          </w:tcPr>
          <w:p>
            <w:pPr>
              <w:pStyle w:val="94"/>
            </w:pPr>
            <w:r>
              <w:rPr>
                <w:rFonts w:hint="eastAsia"/>
              </w:rPr>
              <w:t>正截面承载力验算</w:t>
            </w:r>
          </w:p>
        </w:tc>
        <w:tc>
          <w:tcPr>
            <w:tcW w:w="2329" w:type="dxa"/>
            <w:vMerge w:val="restart"/>
            <w:tcBorders>
              <w:tl2br w:val="nil"/>
              <w:tr2bl w:val="nil"/>
            </w:tcBorders>
            <w:vAlign w:val="center"/>
          </w:tcPr>
          <w:p>
            <w:pPr>
              <w:pStyle w:val="94"/>
            </w:pPr>
            <w:r>
              <w:rPr>
                <w:rFonts w:hint="eastAsia"/>
              </w:rPr>
              <w:t>斜截面承载力验算</w:t>
            </w:r>
          </w:p>
        </w:tc>
        <w:tc>
          <w:tcPr>
            <w:tcW w:w="4108" w:type="dxa"/>
            <w:gridSpan w:val="2"/>
            <w:tcBorders>
              <w:tl2br w:val="nil"/>
              <w:tr2bl w:val="nil"/>
            </w:tcBorders>
            <w:vAlign w:val="center"/>
          </w:tcPr>
          <w:p>
            <w:pPr>
              <w:pStyle w:val="94"/>
            </w:pPr>
            <w:r>
              <w:rPr>
                <w:rFonts w:hint="eastAsia"/>
              </w:rPr>
              <w:t>节点板件、连接焊缝、连接螺栓</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7" w:type="dxa"/>
            <w:vMerge w:val="continue"/>
            <w:tcBorders>
              <w:tl2br w:val="nil"/>
              <w:tr2bl w:val="nil"/>
            </w:tcBorders>
          </w:tcPr>
          <w:p>
            <w:pPr>
              <w:pStyle w:val="94"/>
            </w:pPr>
          </w:p>
        </w:tc>
        <w:tc>
          <w:tcPr>
            <w:tcW w:w="2329" w:type="dxa"/>
            <w:vMerge w:val="continue"/>
            <w:tcBorders>
              <w:tl2br w:val="nil"/>
              <w:tr2bl w:val="nil"/>
            </w:tcBorders>
          </w:tcPr>
          <w:p>
            <w:pPr>
              <w:pStyle w:val="94"/>
            </w:pPr>
          </w:p>
        </w:tc>
        <w:tc>
          <w:tcPr>
            <w:tcW w:w="2061" w:type="dxa"/>
            <w:tcBorders>
              <w:tl2br w:val="nil"/>
              <w:tr2bl w:val="nil"/>
            </w:tcBorders>
            <w:vAlign w:val="center"/>
          </w:tcPr>
          <w:p>
            <w:pPr>
              <w:pStyle w:val="94"/>
            </w:pPr>
            <w:r>
              <w:rPr>
                <w:rFonts w:hint="eastAsia"/>
              </w:rPr>
              <w:t>强度验算</w:t>
            </w:r>
          </w:p>
        </w:tc>
        <w:tc>
          <w:tcPr>
            <w:tcW w:w="2047" w:type="dxa"/>
            <w:tcBorders>
              <w:tl2br w:val="nil"/>
              <w:tr2bl w:val="nil"/>
            </w:tcBorders>
            <w:vAlign w:val="center"/>
          </w:tcPr>
          <w:p>
            <w:pPr>
              <w:pStyle w:val="94"/>
            </w:pPr>
            <w:r>
              <w:rPr>
                <w:rFonts w:hint="eastAsia"/>
              </w:rPr>
              <w:t>稳定验算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7" w:type="dxa"/>
            <w:tcBorders>
              <w:tl2br w:val="nil"/>
              <w:tr2bl w:val="nil"/>
            </w:tcBorders>
          </w:tcPr>
          <w:p>
            <w:pPr>
              <w:pStyle w:val="94"/>
            </w:pPr>
            <w:r>
              <w:rPr>
                <w:rFonts w:hint="eastAsia"/>
              </w:rPr>
              <w:t>0.80</w:t>
            </w:r>
          </w:p>
        </w:tc>
        <w:tc>
          <w:tcPr>
            <w:tcW w:w="2329" w:type="dxa"/>
            <w:tcBorders>
              <w:tl2br w:val="nil"/>
              <w:tr2bl w:val="nil"/>
            </w:tcBorders>
          </w:tcPr>
          <w:p>
            <w:pPr>
              <w:pStyle w:val="94"/>
            </w:pPr>
            <w:r>
              <w:rPr>
                <w:rFonts w:hint="eastAsia"/>
              </w:rPr>
              <w:t>0.85</w:t>
            </w:r>
          </w:p>
        </w:tc>
        <w:tc>
          <w:tcPr>
            <w:tcW w:w="2061" w:type="dxa"/>
            <w:tcBorders>
              <w:tl2br w:val="nil"/>
              <w:tr2bl w:val="nil"/>
            </w:tcBorders>
          </w:tcPr>
          <w:p>
            <w:pPr>
              <w:pStyle w:val="94"/>
            </w:pPr>
            <w:r>
              <w:rPr>
                <w:rFonts w:hint="eastAsia"/>
              </w:rPr>
              <w:t>0.75</w:t>
            </w:r>
          </w:p>
        </w:tc>
        <w:tc>
          <w:tcPr>
            <w:tcW w:w="2047" w:type="dxa"/>
            <w:tcBorders>
              <w:tl2br w:val="nil"/>
              <w:tr2bl w:val="nil"/>
            </w:tcBorders>
          </w:tcPr>
          <w:p>
            <w:pPr>
              <w:pStyle w:val="94"/>
            </w:pPr>
            <w:r>
              <w:rPr>
                <w:rFonts w:hint="eastAsia"/>
              </w:rPr>
              <w:t>0.80</w:t>
            </w:r>
          </w:p>
        </w:tc>
      </w:tr>
    </w:tbl>
    <w:p>
      <w:pPr>
        <w:pStyle w:val="74"/>
        <w:ind w:firstLine="400"/>
      </w:pPr>
      <w:r>
        <w:rPr>
          <w:rFonts w:hint="eastAsia"/>
        </w:rPr>
        <w:t>【条文说明】该条引用现行国家标准《建筑抗震设计规范》GB 50011。</w:t>
      </w:r>
    </w:p>
    <w:p>
      <w:pPr>
        <w:pStyle w:val="4"/>
        <w:ind w:left="0"/>
      </w:pPr>
      <w:r>
        <w:rPr>
          <w:rFonts w:hint="eastAsia"/>
        </w:rPr>
        <w:t>开孔钢板组合剪力墙结构适用的高宽比不宜大于表5.4.5的规定。</w:t>
      </w:r>
    </w:p>
    <w:p>
      <w:pPr>
        <w:pStyle w:val="71"/>
        <w:ind w:firstLine="361"/>
      </w:pPr>
      <w:r>
        <w:rPr>
          <w:rFonts w:hint="eastAsia"/>
        </w:rPr>
        <w:t>表5.4.5开孔钢板组合剪力墙结构适用的最大高宽比</w: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088"/>
        <w:gridCol w:w="472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1" w:hRule="atLeast"/>
          <w:jc w:val="center"/>
        </w:trPr>
        <w:tc>
          <w:tcPr>
            <w:tcW w:w="4088" w:type="dxa"/>
            <w:tcBorders>
              <w:tl2br w:val="nil"/>
              <w:tr2bl w:val="nil"/>
            </w:tcBorders>
            <w:vAlign w:val="center"/>
          </w:tcPr>
          <w:p>
            <w:pPr>
              <w:pStyle w:val="94"/>
            </w:pPr>
            <w:r>
              <w:rPr>
                <w:rFonts w:hint="eastAsia"/>
              </w:rPr>
              <w:t>烈度</w:t>
            </w:r>
          </w:p>
        </w:tc>
        <w:tc>
          <w:tcPr>
            <w:tcW w:w="4726" w:type="dxa"/>
            <w:tcBorders>
              <w:tl2br w:val="nil"/>
              <w:tr2bl w:val="nil"/>
            </w:tcBorders>
            <w:vAlign w:val="center"/>
          </w:tcPr>
          <w:p>
            <w:pPr>
              <w:pStyle w:val="94"/>
            </w:pPr>
            <w:r>
              <w:rPr>
                <w:rFonts w:hint="eastAsia"/>
              </w:rPr>
              <w:t>6度、7度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088" w:type="dxa"/>
            <w:tcBorders>
              <w:tl2br w:val="nil"/>
              <w:tr2bl w:val="nil"/>
            </w:tcBorders>
          </w:tcPr>
          <w:p>
            <w:pPr>
              <w:pStyle w:val="94"/>
            </w:pPr>
            <w:r>
              <w:rPr>
                <w:rFonts w:hint="eastAsia"/>
              </w:rPr>
              <w:t>最大高宽比</w:t>
            </w:r>
          </w:p>
        </w:tc>
        <w:tc>
          <w:tcPr>
            <w:tcW w:w="4726" w:type="dxa"/>
            <w:tcBorders>
              <w:tl2br w:val="nil"/>
              <w:tr2bl w:val="nil"/>
            </w:tcBorders>
            <w:vAlign w:val="center"/>
          </w:tcPr>
          <w:p>
            <w:pPr>
              <w:pStyle w:val="94"/>
            </w:pPr>
            <w:r>
              <w:t>6.5</w:t>
            </w:r>
          </w:p>
        </w:tc>
      </w:tr>
    </w:tbl>
    <w:p>
      <w:pPr>
        <w:spacing w:line="240" w:lineRule="auto"/>
        <w:ind w:firstLine="360"/>
        <w:rPr>
          <w:sz w:val="18"/>
          <w:szCs w:val="18"/>
        </w:rPr>
      </w:pPr>
      <w:r>
        <w:rPr>
          <w:rFonts w:hint="eastAsia"/>
          <w:sz w:val="18"/>
          <w:szCs w:val="18"/>
        </w:rPr>
        <w:t>注：1 计算高宽比的高度从室外地面算起；</w:t>
      </w:r>
    </w:p>
    <w:p>
      <w:pPr>
        <w:spacing w:line="240" w:lineRule="auto"/>
        <w:ind w:firstLine="720" w:firstLineChars="400"/>
        <w:rPr>
          <w:sz w:val="18"/>
          <w:szCs w:val="18"/>
        </w:rPr>
      </w:pPr>
      <w:r>
        <w:rPr>
          <w:sz w:val="18"/>
          <w:szCs w:val="18"/>
        </w:rPr>
        <w:t xml:space="preserve">2 </w:t>
      </w:r>
      <w:r>
        <w:rPr>
          <w:rFonts w:hint="eastAsia"/>
          <w:sz w:val="18"/>
          <w:szCs w:val="18"/>
        </w:rPr>
        <w:t>当塔形建筑底部有大底盘时，计算高宽比的高度从大底盘顶部算起。</w:t>
      </w:r>
    </w:p>
    <w:p>
      <w:pPr>
        <w:pStyle w:val="74"/>
        <w:ind w:firstLine="400"/>
      </w:pPr>
      <w:r>
        <w:rPr>
          <w:rFonts w:hint="eastAsia"/>
        </w:rPr>
        <w:t>【条文说明】本规定采用现行行业标准《高层民用建筑钢结构技术规程》JGJ 99相同的规定。高层民用建筑的高宽比，是对结构刚度、整体稳定、承载能力和经济合理性的宏观控制；在结构设计满足本规程规定的承载力、稳定、抗倾覆、变形和舒适度等基本要求后，仅从结构安全角度讲高宽比限值不是必须满足的，主要影响结构设计的经济性。</w:t>
      </w:r>
    </w:p>
    <w:p>
      <w:pPr>
        <w:pStyle w:val="4"/>
        <w:ind w:left="0"/>
      </w:pPr>
      <w:r>
        <w:rPr>
          <w:rFonts w:hint="eastAsia"/>
        </w:rPr>
        <w:t>装配式开孔钢板组合剪力墙结构住宅建筑的平面和竖向布置及规则性要求，应符合现行国家及行业标准《建筑抗震设计规范》GB50011、《高层民用建筑钢结构技术规程》JGJ 99的有关规定。</w:t>
      </w:r>
    </w:p>
    <w:p>
      <w:pPr>
        <w:pStyle w:val="74"/>
        <w:ind w:firstLine="400"/>
      </w:pPr>
      <w:r>
        <w:rPr>
          <w:rFonts w:hint="eastAsia"/>
        </w:rPr>
        <w:t>【条文说明】该条主要规定平面和竖向布置及规则性的要求。</w:t>
      </w:r>
    </w:p>
    <w:p>
      <w:pPr>
        <w:pStyle w:val="4"/>
        <w:ind w:left="-142"/>
      </w:pPr>
      <w:r>
        <w:rPr>
          <w:rFonts w:hint="eastAsia"/>
        </w:rPr>
        <w:t>开孔钢板组合剪力墙结构的抗震设计，应根据抗震设防分类、设防烈度和房屋高度采用不同的抗震等级（表5.4.7），并应符合相应的计算和构造措施要求。丙类建筑的抗震等级应按现行国家标准《建筑抗震设计规范》GB 50011的有关规定确定。</w:t>
      </w:r>
    </w:p>
    <w:p>
      <w:pPr>
        <w:pStyle w:val="71"/>
        <w:ind w:firstLine="361"/>
      </w:pPr>
      <w:r>
        <w:rPr>
          <w:rFonts w:hint="eastAsia"/>
        </w:rPr>
        <w:t>表5.4.7 开孔钢板组合剪力墙结构房屋的抗震等级</w: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25"/>
        <w:gridCol w:w="2785"/>
        <w:gridCol w:w="887"/>
        <w:gridCol w:w="837"/>
        <w:gridCol w:w="790"/>
        <w:gridCol w:w="282"/>
        <w:gridCol w:w="592"/>
        <w:gridCol w:w="71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710" w:type="dxa"/>
            <w:gridSpan w:val="2"/>
            <w:vMerge w:val="restart"/>
            <w:tcBorders>
              <w:tl2br w:val="nil"/>
              <w:tr2bl w:val="nil"/>
            </w:tcBorders>
            <w:vAlign w:val="center"/>
          </w:tcPr>
          <w:p>
            <w:pPr>
              <w:pStyle w:val="94"/>
            </w:pPr>
            <w:r>
              <w:rPr>
                <w:rFonts w:hint="eastAsia"/>
              </w:rPr>
              <w:t>结构类型</w:t>
            </w:r>
          </w:p>
        </w:tc>
        <w:tc>
          <w:tcPr>
            <w:tcW w:w="4104" w:type="dxa"/>
            <w:gridSpan w:val="6"/>
            <w:tcBorders>
              <w:tl2br w:val="nil"/>
              <w:tr2bl w:val="nil"/>
            </w:tcBorders>
            <w:vAlign w:val="center"/>
          </w:tcPr>
          <w:p>
            <w:pPr>
              <w:pStyle w:val="94"/>
            </w:pPr>
            <w:r>
              <w:rPr>
                <w:rFonts w:hint="eastAsia"/>
              </w:rPr>
              <w:t>设防烈度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710" w:type="dxa"/>
            <w:gridSpan w:val="2"/>
            <w:vMerge w:val="continue"/>
            <w:tcBorders>
              <w:tl2br w:val="nil"/>
              <w:tr2bl w:val="nil"/>
            </w:tcBorders>
            <w:vAlign w:val="center"/>
          </w:tcPr>
          <w:p>
            <w:pPr>
              <w:pStyle w:val="94"/>
            </w:pPr>
          </w:p>
        </w:tc>
        <w:tc>
          <w:tcPr>
            <w:tcW w:w="1724" w:type="dxa"/>
            <w:gridSpan w:val="2"/>
            <w:tcBorders>
              <w:tl2br w:val="nil"/>
              <w:tr2bl w:val="nil"/>
            </w:tcBorders>
            <w:vAlign w:val="center"/>
          </w:tcPr>
          <w:p>
            <w:pPr>
              <w:pStyle w:val="94"/>
            </w:pPr>
            <w:r>
              <w:t>6度</w:t>
            </w:r>
          </w:p>
        </w:tc>
        <w:tc>
          <w:tcPr>
            <w:tcW w:w="2380" w:type="dxa"/>
            <w:gridSpan w:val="4"/>
            <w:tcBorders>
              <w:tl2br w:val="nil"/>
              <w:tr2bl w:val="nil"/>
            </w:tcBorders>
            <w:vAlign w:val="center"/>
          </w:tcPr>
          <w:p>
            <w:pPr>
              <w:pStyle w:val="94"/>
            </w:pPr>
            <w:r>
              <w:t>7度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restart"/>
            <w:tcBorders>
              <w:tl2br w:val="nil"/>
              <w:tr2bl w:val="nil"/>
            </w:tcBorders>
            <w:vAlign w:val="center"/>
          </w:tcPr>
          <w:p>
            <w:pPr>
              <w:pStyle w:val="94"/>
            </w:pPr>
            <w:r>
              <w:t>框架-剪力墙结构</w:t>
            </w:r>
          </w:p>
        </w:tc>
        <w:tc>
          <w:tcPr>
            <w:tcW w:w="2785" w:type="dxa"/>
            <w:tcBorders>
              <w:tl2br w:val="nil"/>
              <w:tr2bl w:val="nil"/>
            </w:tcBorders>
            <w:vAlign w:val="center"/>
          </w:tcPr>
          <w:p>
            <w:pPr>
              <w:pStyle w:val="94"/>
            </w:pPr>
            <w:r>
              <w:t>房屋高度（m）</w:t>
            </w:r>
          </w:p>
        </w:tc>
        <w:tc>
          <w:tcPr>
            <w:tcW w:w="887" w:type="dxa"/>
            <w:tcBorders>
              <w:tl2br w:val="nil"/>
              <w:tr2bl w:val="nil"/>
            </w:tcBorders>
            <w:vAlign w:val="center"/>
          </w:tcPr>
          <w:p>
            <w:pPr>
              <w:pStyle w:val="94"/>
            </w:pPr>
            <w:r>
              <w:t>≤60</w:t>
            </w:r>
          </w:p>
        </w:tc>
        <w:tc>
          <w:tcPr>
            <w:tcW w:w="837" w:type="dxa"/>
            <w:tcBorders>
              <w:tl2br w:val="nil"/>
              <w:tr2bl w:val="nil"/>
            </w:tcBorders>
            <w:vAlign w:val="center"/>
          </w:tcPr>
          <w:p>
            <w:pPr>
              <w:pStyle w:val="94"/>
            </w:pPr>
            <w:r>
              <w:t>＞</w:t>
            </w:r>
            <w:r>
              <w:rPr>
                <w:rFonts w:hint="eastAsia"/>
              </w:rPr>
              <w:t>6</w:t>
            </w:r>
            <w:r>
              <w:t>0</w:t>
            </w:r>
          </w:p>
        </w:tc>
        <w:tc>
          <w:tcPr>
            <w:tcW w:w="790" w:type="dxa"/>
            <w:tcBorders>
              <w:tl2br w:val="nil"/>
              <w:tr2bl w:val="nil"/>
            </w:tcBorders>
            <w:vAlign w:val="center"/>
          </w:tcPr>
          <w:p>
            <w:pPr>
              <w:pStyle w:val="94"/>
            </w:pPr>
            <w:r>
              <w:t>≤24</w:t>
            </w:r>
          </w:p>
        </w:tc>
        <w:tc>
          <w:tcPr>
            <w:tcW w:w="874" w:type="dxa"/>
            <w:gridSpan w:val="2"/>
            <w:tcBorders>
              <w:tl2br w:val="nil"/>
              <w:tr2bl w:val="nil"/>
            </w:tcBorders>
            <w:vAlign w:val="center"/>
          </w:tcPr>
          <w:p>
            <w:pPr>
              <w:pStyle w:val="94"/>
            </w:pPr>
            <w:r>
              <w:t>25~60</w:t>
            </w:r>
          </w:p>
        </w:tc>
        <w:tc>
          <w:tcPr>
            <w:tcW w:w="716" w:type="dxa"/>
            <w:tcBorders>
              <w:tl2br w:val="nil"/>
              <w:tr2bl w:val="nil"/>
            </w:tcBorders>
            <w:vAlign w:val="center"/>
          </w:tcPr>
          <w:p>
            <w:pPr>
              <w:pStyle w:val="94"/>
            </w:pPr>
            <w:r>
              <w:t>＞60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钢框架</w:t>
            </w:r>
          </w:p>
        </w:tc>
        <w:tc>
          <w:tcPr>
            <w:tcW w:w="887" w:type="dxa"/>
            <w:tcBorders>
              <w:tl2br w:val="nil"/>
              <w:tr2bl w:val="nil"/>
            </w:tcBorders>
            <w:vAlign w:val="center"/>
          </w:tcPr>
          <w:p>
            <w:pPr>
              <w:pStyle w:val="94"/>
            </w:pPr>
            <w:r>
              <w:t>四</w:t>
            </w:r>
          </w:p>
        </w:tc>
        <w:tc>
          <w:tcPr>
            <w:tcW w:w="837" w:type="dxa"/>
            <w:tcBorders>
              <w:tl2br w:val="nil"/>
              <w:tr2bl w:val="nil"/>
            </w:tcBorders>
            <w:vAlign w:val="center"/>
          </w:tcPr>
          <w:p>
            <w:pPr>
              <w:pStyle w:val="94"/>
            </w:pPr>
            <w:r>
              <w:t>三</w:t>
            </w:r>
          </w:p>
        </w:tc>
        <w:tc>
          <w:tcPr>
            <w:tcW w:w="790" w:type="dxa"/>
            <w:tcBorders>
              <w:tl2br w:val="nil"/>
              <w:tr2bl w:val="nil"/>
            </w:tcBorders>
            <w:vAlign w:val="center"/>
          </w:tcPr>
          <w:p>
            <w:pPr>
              <w:pStyle w:val="94"/>
            </w:pPr>
            <w:r>
              <w:t>四</w:t>
            </w:r>
          </w:p>
        </w:tc>
        <w:tc>
          <w:tcPr>
            <w:tcW w:w="874" w:type="dxa"/>
            <w:gridSpan w:val="2"/>
            <w:tcBorders>
              <w:tl2br w:val="nil"/>
              <w:tr2bl w:val="nil"/>
            </w:tcBorders>
            <w:vAlign w:val="center"/>
          </w:tcPr>
          <w:p>
            <w:pPr>
              <w:pStyle w:val="94"/>
            </w:pPr>
            <w:r>
              <w:t>三</w:t>
            </w:r>
          </w:p>
        </w:tc>
        <w:tc>
          <w:tcPr>
            <w:tcW w:w="716" w:type="dxa"/>
            <w:tcBorders>
              <w:tl2br w:val="nil"/>
              <w:tr2bl w:val="nil"/>
            </w:tcBorders>
            <w:vAlign w:val="center"/>
          </w:tcPr>
          <w:p>
            <w:pPr>
              <w:pStyle w:val="94"/>
            </w:pPr>
            <w:r>
              <w:t>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钢管混凝土框架</w:t>
            </w:r>
          </w:p>
        </w:tc>
        <w:tc>
          <w:tcPr>
            <w:tcW w:w="887" w:type="dxa"/>
            <w:tcBorders>
              <w:tl2br w:val="nil"/>
              <w:tr2bl w:val="nil"/>
            </w:tcBorders>
            <w:vAlign w:val="center"/>
          </w:tcPr>
          <w:p>
            <w:pPr>
              <w:pStyle w:val="94"/>
            </w:pPr>
            <w:r>
              <w:t>四</w:t>
            </w:r>
          </w:p>
        </w:tc>
        <w:tc>
          <w:tcPr>
            <w:tcW w:w="837" w:type="dxa"/>
            <w:tcBorders>
              <w:tl2br w:val="nil"/>
              <w:tr2bl w:val="nil"/>
            </w:tcBorders>
            <w:vAlign w:val="center"/>
          </w:tcPr>
          <w:p>
            <w:pPr>
              <w:pStyle w:val="94"/>
            </w:pPr>
            <w:r>
              <w:t>三</w:t>
            </w:r>
          </w:p>
        </w:tc>
        <w:tc>
          <w:tcPr>
            <w:tcW w:w="790" w:type="dxa"/>
            <w:tcBorders>
              <w:tl2br w:val="nil"/>
              <w:tr2bl w:val="nil"/>
            </w:tcBorders>
            <w:vAlign w:val="center"/>
          </w:tcPr>
          <w:p>
            <w:pPr>
              <w:pStyle w:val="94"/>
            </w:pPr>
            <w:r>
              <w:t>四</w:t>
            </w:r>
          </w:p>
        </w:tc>
        <w:tc>
          <w:tcPr>
            <w:tcW w:w="874" w:type="dxa"/>
            <w:gridSpan w:val="2"/>
            <w:tcBorders>
              <w:tl2br w:val="nil"/>
              <w:tr2bl w:val="nil"/>
            </w:tcBorders>
            <w:vAlign w:val="center"/>
          </w:tcPr>
          <w:p>
            <w:pPr>
              <w:pStyle w:val="94"/>
            </w:pPr>
            <w:r>
              <w:t>三</w:t>
            </w:r>
          </w:p>
        </w:tc>
        <w:tc>
          <w:tcPr>
            <w:tcW w:w="716" w:type="dxa"/>
            <w:tcBorders>
              <w:tl2br w:val="nil"/>
              <w:tr2bl w:val="nil"/>
            </w:tcBorders>
            <w:vAlign w:val="center"/>
          </w:tcPr>
          <w:p>
            <w:pPr>
              <w:pStyle w:val="94"/>
            </w:pPr>
            <w:r>
              <w:t>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开孔钢板组合剪力墙</w:t>
            </w:r>
          </w:p>
        </w:tc>
        <w:tc>
          <w:tcPr>
            <w:tcW w:w="887" w:type="dxa"/>
            <w:tcBorders>
              <w:tl2br w:val="nil"/>
              <w:tr2bl w:val="nil"/>
            </w:tcBorders>
            <w:vAlign w:val="center"/>
          </w:tcPr>
          <w:p>
            <w:pPr>
              <w:pStyle w:val="94"/>
            </w:pPr>
            <w:r>
              <w:rPr>
                <w:rFonts w:hint="eastAsia"/>
              </w:rPr>
              <w:t>三</w:t>
            </w:r>
          </w:p>
        </w:tc>
        <w:tc>
          <w:tcPr>
            <w:tcW w:w="837" w:type="dxa"/>
            <w:tcBorders>
              <w:tl2br w:val="nil"/>
              <w:tr2bl w:val="nil"/>
            </w:tcBorders>
            <w:vAlign w:val="center"/>
          </w:tcPr>
          <w:p>
            <w:pPr>
              <w:pStyle w:val="94"/>
            </w:pPr>
            <w:r>
              <w:rPr>
                <w:rFonts w:hint="eastAsia"/>
              </w:rPr>
              <w:t>三</w:t>
            </w:r>
          </w:p>
        </w:tc>
        <w:tc>
          <w:tcPr>
            <w:tcW w:w="790" w:type="dxa"/>
            <w:tcBorders>
              <w:tl2br w:val="nil"/>
              <w:tr2bl w:val="nil"/>
            </w:tcBorders>
            <w:vAlign w:val="center"/>
          </w:tcPr>
          <w:p>
            <w:pPr>
              <w:pStyle w:val="94"/>
            </w:pPr>
            <w:r>
              <w:rPr>
                <w:rFonts w:hint="eastAsia"/>
              </w:rPr>
              <w:t>三</w:t>
            </w:r>
          </w:p>
        </w:tc>
        <w:tc>
          <w:tcPr>
            <w:tcW w:w="874" w:type="dxa"/>
            <w:gridSpan w:val="2"/>
            <w:tcBorders>
              <w:tl2br w:val="nil"/>
              <w:tr2bl w:val="nil"/>
            </w:tcBorders>
            <w:vAlign w:val="center"/>
          </w:tcPr>
          <w:p>
            <w:pPr>
              <w:pStyle w:val="94"/>
            </w:pPr>
            <w:r>
              <w:rPr>
                <w:rFonts w:hint="eastAsia"/>
              </w:rPr>
              <w:t>二</w:t>
            </w:r>
          </w:p>
        </w:tc>
        <w:tc>
          <w:tcPr>
            <w:tcW w:w="716" w:type="dxa"/>
            <w:tcBorders>
              <w:tl2br w:val="nil"/>
              <w:tr2bl w:val="nil"/>
            </w:tcBorders>
            <w:vAlign w:val="center"/>
          </w:tcPr>
          <w:p>
            <w:pPr>
              <w:pStyle w:val="94"/>
            </w:pPr>
            <w:r>
              <w:rPr>
                <w:rFonts w:hint="eastAsia"/>
              </w:rPr>
              <w:t>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restart"/>
            <w:tcBorders>
              <w:tl2br w:val="nil"/>
              <w:tr2bl w:val="nil"/>
            </w:tcBorders>
            <w:vAlign w:val="center"/>
          </w:tcPr>
          <w:p>
            <w:pPr>
              <w:pStyle w:val="94"/>
            </w:pPr>
            <w:r>
              <w:t>剪力墙结构</w:t>
            </w:r>
          </w:p>
        </w:tc>
        <w:tc>
          <w:tcPr>
            <w:tcW w:w="2785" w:type="dxa"/>
            <w:tcBorders>
              <w:tl2br w:val="nil"/>
              <w:tr2bl w:val="nil"/>
            </w:tcBorders>
            <w:vAlign w:val="center"/>
          </w:tcPr>
          <w:p>
            <w:pPr>
              <w:pStyle w:val="94"/>
            </w:pPr>
            <w:r>
              <w:t>房屋高度（m）</w:t>
            </w:r>
          </w:p>
        </w:tc>
        <w:tc>
          <w:tcPr>
            <w:tcW w:w="887" w:type="dxa"/>
            <w:tcBorders>
              <w:tl2br w:val="nil"/>
              <w:tr2bl w:val="nil"/>
            </w:tcBorders>
            <w:vAlign w:val="center"/>
          </w:tcPr>
          <w:p>
            <w:pPr>
              <w:pStyle w:val="94"/>
            </w:pPr>
            <w:r>
              <w:t>≤80</w:t>
            </w:r>
          </w:p>
        </w:tc>
        <w:tc>
          <w:tcPr>
            <w:tcW w:w="837" w:type="dxa"/>
            <w:tcBorders>
              <w:tl2br w:val="nil"/>
              <w:tr2bl w:val="nil"/>
            </w:tcBorders>
            <w:vAlign w:val="center"/>
          </w:tcPr>
          <w:p>
            <w:pPr>
              <w:pStyle w:val="94"/>
            </w:pPr>
            <w:r>
              <w:t>＞80</w:t>
            </w:r>
          </w:p>
        </w:tc>
        <w:tc>
          <w:tcPr>
            <w:tcW w:w="790" w:type="dxa"/>
            <w:tcBorders>
              <w:tl2br w:val="nil"/>
              <w:tr2bl w:val="nil"/>
            </w:tcBorders>
            <w:vAlign w:val="center"/>
          </w:tcPr>
          <w:p>
            <w:pPr>
              <w:pStyle w:val="94"/>
            </w:pPr>
            <w:r>
              <w:t>≤24</w:t>
            </w:r>
          </w:p>
        </w:tc>
        <w:tc>
          <w:tcPr>
            <w:tcW w:w="874" w:type="dxa"/>
            <w:gridSpan w:val="2"/>
            <w:tcBorders>
              <w:tl2br w:val="nil"/>
              <w:tr2bl w:val="nil"/>
            </w:tcBorders>
            <w:vAlign w:val="center"/>
          </w:tcPr>
          <w:p>
            <w:pPr>
              <w:pStyle w:val="94"/>
            </w:pPr>
            <w:r>
              <w:t>25~80</w:t>
            </w:r>
          </w:p>
        </w:tc>
        <w:tc>
          <w:tcPr>
            <w:tcW w:w="716" w:type="dxa"/>
            <w:tcBorders>
              <w:tl2br w:val="nil"/>
              <w:tr2bl w:val="nil"/>
            </w:tcBorders>
            <w:vAlign w:val="center"/>
          </w:tcPr>
          <w:p>
            <w:pPr>
              <w:pStyle w:val="94"/>
            </w:pPr>
            <w:r>
              <w:t>＞80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开孔钢板组合剪力墙</w:t>
            </w:r>
          </w:p>
        </w:tc>
        <w:tc>
          <w:tcPr>
            <w:tcW w:w="887" w:type="dxa"/>
            <w:tcBorders>
              <w:tl2br w:val="nil"/>
              <w:tr2bl w:val="nil"/>
            </w:tcBorders>
            <w:vAlign w:val="center"/>
          </w:tcPr>
          <w:p>
            <w:pPr>
              <w:pStyle w:val="94"/>
            </w:pPr>
            <w:r>
              <w:t>四</w:t>
            </w:r>
          </w:p>
        </w:tc>
        <w:tc>
          <w:tcPr>
            <w:tcW w:w="837" w:type="dxa"/>
            <w:tcBorders>
              <w:tl2br w:val="nil"/>
              <w:tr2bl w:val="nil"/>
            </w:tcBorders>
            <w:vAlign w:val="center"/>
          </w:tcPr>
          <w:p>
            <w:pPr>
              <w:pStyle w:val="94"/>
            </w:pPr>
            <w:r>
              <w:t>三</w:t>
            </w:r>
          </w:p>
        </w:tc>
        <w:tc>
          <w:tcPr>
            <w:tcW w:w="790" w:type="dxa"/>
            <w:tcBorders>
              <w:tl2br w:val="nil"/>
              <w:tr2bl w:val="nil"/>
            </w:tcBorders>
            <w:vAlign w:val="center"/>
          </w:tcPr>
          <w:p>
            <w:pPr>
              <w:pStyle w:val="94"/>
            </w:pPr>
            <w:r>
              <w:t>四</w:t>
            </w:r>
          </w:p>
        </w:tc>
        <w:tc>
          <w:tcPr>
            <w:tcW w:w="874" w:type="dxa"/>
            <w:gridSpan w:val="2"/>
            <w:tcBorders>
              <w:tl2br w:val="nil"/>
              <w:tr2bl w:val="nil"/>
            </w:tcBorders>
            <w:vAlign w:val="center"/>
          </w:tcPr>
          <w:p>
            <w:pPr>
              <w:pStyle w:val="94"/>
            </w:pPr>
            <w:r>
              <w:t>三</w:t>
            </w:r>
          </w:p>
        </w:tc>
        <w:tc>
          <w:tcPr>
            <w:tcW w:w="716" w:type="dxa"/>
            <w:tcBorders>
              <w:tl2br w:val="nil"/>
              <w:tr2bl w:val="nil"/>
            </w:tcBorders>
            <w:vAlign w:val="center"/>
          </w:tcPr>
          <w:p>
            <w:pPr>
              <w:pStyle w:val="94"/>
            </w:pPr>
            <w:r>
              <w:t>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restart"/>
            <w:tcBorders>
              <w:tl2br w:val="nil"/>
              <w:tr2bl w:val="nil"/>
            </w:tcBorders>
            <w:vAlign w:val="center"/>
          </w:tcPr>
          <w:p>
            <w:pPr>
              <w:pStyle w:val="94"/>
            </w:pPr>
            <w:r>
              <w:t>框架-核心筒结构</w:t>
            </w:r>
          </w:p>
        </w:tc>
        <w:tc>
          <w:tcPr>
            <w:tcW w:w="2785" w:type="dxa"/>
            <w:tcBorders>
              <w:tl2br w:val="nil"/>
              <w:tr2bl w:val="nil"/>
            </w:tcBorders>
            <w:vAlign w:val="center"/>
          </w:tcPr>
          <w:p>
            <w:pPr>
              <w:pStyle w:val="94"/>
            </w:pPr>
            <w:r>
              <w:t>房屋高度（m）</w:t>
            </w:r>
          </w:p>
        </w:tc>
        <w:tc>
          <w:tcPr>
            <w:tcW w:w="887" w:type="dxa"/>
            <w:tcBorders>
              <w:tl2br w:val="nil"/>
              <w:tr2bl w:val="nil"/>
            </w:tcBorders>
            <w:vAlign w:val="center"/>
          </w:tcPr>
          <w:p>
            <w:pPr>
              <w:pStyle w:val="94"/>
            </w:pPr>
            <w:r>
              <w:t>≤150</w:t>
            </w:r>
          </w:p>
        </w:tc>
        <w:tc>
          <w:tcPr>
            <w:tcW w:w="837" w:type="dxa"/>
            <w:tcBorders>
              <w:tl2br w:val="nil"/>
              <w:tr2bl w:val="nil"/>
            </w:tcBorders>
            <w:vAlign w:val="center"/>
          </w:tcPr>
          <w:p>
            <w:pPr>
              <w:pStyle w:val="94"/>
            </w:pPr>
            <w:r>
              <w:t>＞150</w:t>
            </w:r>
          </w:p>
        </w:tc>
        <w:tc>
          <w:tcPr>
            <w:tcW w:w="1072" w:type="dxa"/>
            <w:gridSpan w:val="2"/>
            <w:tcBorders>
              <w:tl2br w:val="nil"/>
              <w:tr2bl w:val="nil"/>
            </w:tcBorders>
            <w:vAlign w:val="center"/>
          </w:tcPr>
          <w:p>
            <w:pPr>
              <w:pStyle w:val="94"/>
            </w:pPr>
            <w:r>
              <w:t>≤130</w:t>
            </w:r>
          </w:p>
        </w:tc>
        <w:tc>
          <w:tcPr>
            <w:tcW w:w="1308" w:type="dxa"/>
            <w:gridSpan w:val="2"/>
            <w:tcBorders>
              <w:tl2br w:val="nil"/>
              <w:tr2bl w:val="nil"/>
            </w:tcBorders>
            <w:vAlign w:val="center"/>
          </w:tcPr>
          <w:p>
            <w:pPr>
              <w:pStyle w:val="94"/>
            </w:pPr>
            <w:r>
              <w:t>＞130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钢管混凝土框架</w:t>
            </w:r>
          </w:p>
        </w:tc>
        <w:tc>
          <w:tcPr>
            <w:tcW w:w="887" w:type="dxa"/>
            <w:tcBorders>
              <w:tl2br w:val="nil"/>
              <w:tr2bl w:val="nil"/>
            </w:tcBorders>
            <w:vAlign w:val="center"/>
          </w:tcPr>
          <w:p>
            <w:pPr>
              <w:pStyle w:val="94"/>
            </w:pPr>
            <w:r>
              <w:rPr>
                <w:rFonts w:hint="eastAsia"/>
              </w:rPr>
              <w:t>三</w:t>
            </w:r>
          </w:p>
        </w:tc>
        <w:tc>
          <w:tcPr>
            <w:tcW w:w="837" w:type="dxa"/>
            <w:tcBorders>
              <w:tl2br w:val="nil"/>
              <w:tr2bl w:val="nil"/>
            </w:tcBorders>
            <w:vAlign w:val="center"/>
          </w:tcPr>
          <w:p>
            <w:pPr>
              <w:pStyle w:val="94"/>
            </w:pPr>
            <w:r>
              <w:rPr>
                <w:rFonts w:hint="eastAsia"/>
              </w:rPr>
              <w:t>二</w:t>
            </w:r>
          </w:p>
        </w:tc>
        <w:tc>
          <w:tcPr>
            <w:tcW w:w="1072" w:type="dxa"/>
            <w:gridSpan w:val="2"/>
            <w:tcBorders>
              <w:tl2br w:val="nil"/>
              <w:tr2bl w:val="nil"/>
            </w:tcBorders>
            <w:vAlign w:val="center"/>
          </w:tcPr>
          <w:p>
            <w:pPr>
              <w:pStyle w:val="94"/>
            </w:pPr>
            <w:r>
              <w:rPr>
                <w:rFonts w:hint="eastAsia"/>
              </w:rPr>
              <w:t>二</w:t>
            </w:r>
          </w:p>
        </w:tc>
        <w:tc>
          <w:tcPr>
            <w:tcW w:w="1308" w:type="dxa"/>
            <w:gridSpan w:val="2"/>
            <w:tcBorders>
              <w:tl2br w:val="nil"/>
              <w:tr2bl w:val="nil"/>
            </w:tcBorders>
            <w:vAlign w:val="center"/>
          </w:tcPr>
          <w:p>
            <w:pPr>
              <w:pStyle w:val="94"/>
            </w:pPr>
            <w:r>
              <w:rPr>
                <w:rFonts w:hint="eastAsia"/>
              </w:rPr>
              <w:t>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开孔钢板组合剪力墙核心筒</w:t>
            </w:r>
          </w:p>
        </w:tc>
        <w:tc>
          <w:tcPr>
            <w:tcW w:w="887" w:type="dxa"/>
            <w:tcBorders>
              <w:tl2br w:val="nil"/>
              <w:tr2bl w:val="nil"/>
            </w:tcBorders>
            <w:vAlign w:val="center"/>
          </w:tcPr>
          <w:p>
            <w:pPr>
              <w:pStyle w:val="94"/>
            </w:pPr>
            <w:r>
              <w:rPr>
                <w:rFonts w:hint="eastAsia"/>
              </w:rPr>
              <w:t>二</w:t>
            </w:r>
          </w:p>
        </w:tc>
        <w:tc>
          <w:tcPr>
            <w:tcW w:w="837" w:type="dxa"/>
            <w:tcBorders>
              <w:tl2br w:val="nil"/>
              <w:tr2bl w:val="nil"/>
            </w:tcBorders>
            <w:vAlign w:val="center"/>
          </w:tcPr>
          <w:p>
            <w:pPr>
              <w:pStyle w:val="94"/>
            </w:pPr>
            <w:r>
              <w:rPr>
                <w:rFonts w:hint="eastAsia"/>
              </w:rPr>
              <w:t>二</w:t>
            </w:r>
          </w:p>
        </w:tc>
        <w:tc>
          <w:tcPr>
            <w:tcW w:w="1072" w:type="dxa"/>
            <w:gridSpan w:val="2"/>
            <w:tcBorders>
              <w:tl2br w:val="nil"/>
              <w:tr2bl w:val="nil"/>
            </w:tcBorders>
            <w:vAlign w:val="center"/>
          </w:tcPr>
          <w:p>
            <w:pPr>
              <w:pStyle w:val="94"/>
            </w:pPr>
            <w:r>
              <w:rPr>
                <w:rFonts w:hint="eastAsia"/>
              </w:rPr>
              <w:t>二</w:t>
            </w:r>
          </w:p>
        </w:tc>
        <w:tc>
          <w:tcPr>
            <w:tcW w:w="1308" w:type="dxa"/>
            <w:gridSpan w:val="2"/>
            <w:tcBorders>
              <w:tl2br w:val="nil"/>
              <w:tr2bl w:val="nil"/>
            </w:tcBorders>
            <w:vAlign w:val="center"/>
          </w:tcPr>
          <w:p>
            <w:pPr>
              <w:pStyle w:val="94"/>
            </w:pPr>
            <w:r>
              <w:rPr>
                <w:rFonts w:hint="eastAsia"/>
              </w:rPr>
              <w:t>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restart"/>
            <w:tcBorders>
              <w:tl2br w:val="nil"/>
              <w:tr2bl w:val="nil"/>
            </w:tcBorders>
            <w:vAlign w:val="center"/>
          </w:tcPr>
          <w:p>
            <w:pPr>
              <w:pStyle w:val="94"/>
            </w:pPr>
            <w:r>
              <w:t>筒中筒结构</w:t>
            </w:r>
          </w:p>
        </w:tc>
        <w:tc>
          <w:tcPr>
            <w:tcW w:w="2785" w:type="dxa"/>
            <w:tcBorders>
              <w:tl2br w:val="nil"/>
              <w:tr2bl w:val="nil"/>
            </w:tcBorders>
            <w:vAlign w:val="center"/>
          </w:tcPr>
          <w:p>
            <w:pPr>
              <w:pStyle w:val="94"/>
            </w:pPr>
            <w:r>
              <w:t>房屋高度（m）</w:t>
            </w:r>
          </w:p>
        </w:tc>
        <w:tc>
          <w:tcPr>
            <w:tcW w:w="887" w:type="dxa"/>
            <w:tcBorders>
              <w:tl2br w:val="nil"/>
              <w:tr2bl w:val="nil"/>
            </w:tcBorders>
            <w:vAlign w:val="center"/>
          </w:tcPr>
          <w:p>
            <w:pPr>
              <w:pStyle w:val="94"/>
            </w:pPr>
            <w:r>
              <w:t>≤180</w:t>
            </w:r>
          </w:p>
        </w:tc>
        <w:tc>
          <w:tcPr>
            <w:tcW w:w="837" w:type="dxa"/>
            <w:tcBorders>
              <w:tl2br w:val="nil"/>
              <w:tr2bl w:val="nil"/>
            </w:tcBorders>
            <w:vAlign w:val="center"/>
          </w:tcPr>
          <w:p>
            <w:pPr>
              <w:pStyle w:val="94"/>
            </w:pPr>
            <w:r>
              <w:t>＞180</w:t>
            </w:r>
          </w:p>
        </w:tc>
        <w:tc>
          <w:tcPr>
            <w:tcW w:w="1072" w:type="dxa"/>
            <w:gridSpan w:val="2"/>
            <w:tcBorders>
              <w:tl2br w:val="nil"/>
              <w:tr2bl w:val="nil"/>
            </w:tcBorders>
            <w:vAlign w:val="center"/>
          </w:tcPr>
          <w:p>
            <w:pPr>
              <w:pStyle w:val="94"/>
            </w:pPr>
            <w:r>
              <w:t>≤150</w:t>
            </w:r>
          </w:p>
        </w:tc>
        <w:tc>
          <w:tcPr>
            <w:tcW w:w="1308" w:type="dxa"/>
            <w:gridSpan w:val="2"/>
            <w:tcBorders>
              <w:tl2br w:val="nil"/>
              <w:tr2bl w:val="nil"/>
            </w:tcBorders>
            <w:vAlign w:val="center"/>
          </w:tcPr>
          <w:p>
            <w:pPr>
              <w:pStyle w:val="94"/>
            </w:pPr>
            <w:r>
              <w:t>＞150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钢管混凝土外筒</w:t>
            </w:r>
          </w:p>
        </w:tc>
        <w:tc>
          <w:tcPr>
            <w:tcW w:w="887" w:type="dxa"/>
            <w:tcBorders>
              <w:tl2br w:val="nil"/>
              <w:tr2bl w:val="nil"/>
            </w:tcBorders>
            <w:vAlign w:val="center"/>
          </w:tcPr>
          <w:p>
            <w:pPr>
              <w:pStyle w:val="94"/>
            </w:pPr>
            <w:r>
              <w:rPr>
                <w:rFonts w:hint="eastAsia"/>
              </w:rPr>
              <w:t>三</w:t>
            </w:r>
          </w:p>
        </w:tc>
        <w:tc>
          <w:tcPr>
            <w:tcW w:w="837" w:type="dxa"/>
            <w:tcBorders>
              <w:tl2br w:val="nil"/>
              <w:tr2bl w:val="nil"/>
            </w:tcBorders>
            <w:vAlign w:val="center"/>
          </w:tcPr>
          <w:p>
            <w:pPr>
              <w:pStyle w:val="94"/>
            </w:pPr>
            <w:r>
              <w:rPr>
                <w:rFonts w:hint="eastAsia"/>
              </w:rPr>
              <w:t>二</w:t>
            </w:r>
          </w:p>
        </w:tc>
        <w:tc>
          <w:tcPr>
            <w:tcW w:w="1072" w:type="dxa"/>
            <w:gridSpan w:val="2"/>
            <w:tcBorders>
              <w:tl2br w:val="nil"/>
              <w:tr2bl w:val="nil"/>
            </w:tcBorders>
            <w:vAlign w:val="center"/>
          </w:tcPr>
          <w:p>
            <w:pPr>
              <w:pStyle w:val="94"/>
            </w:pPr>
            <w:r>
              <w:rPr>
                <w:rFonts w:hint="eastAsia"/>
              </w:rPr>
              <w:t>二</w:t>
            </w:r>
          </w:p>
        </w:tc>
        <w:tc>
          <w:tcPr>
            <w:tcW w:w="1308" w:type="dxa"/>
            <w:gridSpan w:val="2"/>
            <w:tcBorders>
              <w:tl2br w:val="nil"/>
              <w:tr2bl w:val="nil"/>
            </w:tcBorders>
            <w:vAlign w:val="center"/>
          </w:tcPr>
          <w:p>
            <w:pPr>
              <w:pStyle w:val="94"/>
            </w:pPr>
            <w:r>
              <w:rPr>
                <w:rFonts w:hint="eastAsia"/>
              </w:rPr>
              <w:t>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925" w:type="dxa"/>
            <w:vMerge w:val="continue"/>
            <w:tcBorders>
              <w:tl2br w:val="nil"/>
              <w:tr2bl w:val="nil"/>
            </w:tcBorders>
            <w:vAlign w:val="center"/>
          </w:tcPr>
          <w:p>
            <w:pPr>
              <w:pStyle w:val="94"/>
            </w:pPr>
          </w:p>
        </w:tc>
        <w:tc>
          <w:tcPr>
            <w:tcW w:w="2785" w:type="dxa"/>
            <w:tcBorders>
              <w:tl2br w:val="nil"/>
              <w:tr2bl w:val="nil"/>
            </w:tcBorders>
            <w:vAlign w:val="center"/>
          </w:tcPr>
          <w:p>
            <w:pPr>
              <w:pStyle w:val="94"/>
            </w:pPr>
            <w:r>
              <w:rPr>
                <w:rFonts w:hint="eastAsia"/>
              </w:rPr>
              <w:t>开孔钢板组合剪力墙核心筒</w:t>
            </w:r>
          </w:p>
        </w:tc>
        <w:tc>
          <w:tcPr>
            <w:tcW w:w="887" w:type="dxa"/>
            <w:tcBorders>
              <w:tl2br w:val="nil"/>
              <w:tr2bl w:val="nil"/>
            </w:tcBorders>
            <w:vAlign w:val="center"/>
          </w:tcPr>
          <w:p>
            <w:pPr>
              <w:pStyle w:val="94"/>
            </w:pPr>
            <w:r>
              <w:rPr>
                <w:rFonts w:hint="eastAsia"/>
              </w:rPr>
              <w:t>二</w:t>
            </w:r>
          </w:p>
        </w:tc>
        <w:tc>
          <w:tcPr>
            <w:tcW w:w="837" w:type="dxa"/>
            <w:tcBorders>
              <w:tl2br w:val="nil"/>
              <w:tr2bl w:val="nil"/>
            </w:tcBorders>
            <w:vAlign w:val="center"/>
          </w:tcPr>
          <w:p>
            <w:pPr>
              <w:pStyle w:val="94"/>
            </w:pPr>
            <w:r>
              <w:rPr>
                <w:rFonts w:hint="eastAsia"/>
              </w:rPr>
              <w:t>二</w:t>
            </w:r>
          </w:p>
        </w:tc>
        <w:tc>
          <w:tcPr>
            <w:tcW w:w="1072" w:type="dxa"/>
            <w:gridSpan w:val="2"/>
            <w:tcBorders>
              <w:tl2br w:val="nil"/>
              <w:tr2bl w:val="nil"/>
            </w:tcBorders>
            <w:vAlign w:val="center"/>
          </w:tcPr>
          <w:p>
            <w:pPr>
              <w:pStyle w:val="94"/>
            </w:pPr>
            <w:r>
              <w:rPr>
                <w:rFonts w:hint="eastAsia"/>
              </w:rPr>
              <w:t>二</w:t>
            </w:r>
          </w:p>
        </w:tc>
        <w:tc>
          <w:tcPr>
            <w:tcW w:w="1308" w:type="dxa"/>
            <w:gridSpan w:val="2"/>
            <w:tcBorders>
              <w:tl2br w:val="nil"/>
              <w:tr2bl w:val="nil"/>
            </w:tcBorders>
            <w:vAlign w:val="center"/>
          </w:tcPr>
          <w:p>
            <w:pPr>
              <w:pStyle w:val="94"/>
            </w:pPr>
            <w:r>
              <w:rPr>
                <w:rFonts w:hint="eastAsia"/>
              </w:rPr>
              <w:t>一</w:t>
            </w:r>
          </w:p>
        </w:tc>
      </w:tr>
    </w:tbl>
    <w:p>
      <w:pPr>
        <w:pStyle w:val="74"/>
        <w:ind w:firstLine="400"/>
      </w:pPr>
      <w:r>
        <w:rPr>
          <w:rFonts w:hint="eastAsia"/>
        </w:rPr>
        <w:t>【条文说明】参照现行国家及行业标准《建筑抗震设计规范》GB 50011中8.1.3条和《组合结构设计规范》JGJ 138中表4.3.8的规定，其中剪力墙结构比钢筋混凝土剪力墙的规定偏于安全。对于7度（0.15g）设防且处于III、IV类场地的高层民用建筑钢结构，宜按8度确定抗震等级。甲、乙类设防的高层民用建筑钢结构，其抗震等级的确定按现行国家标准《建筑抗震设计规范》GB 50011的有关规定处理。</w:t>
      </w:r>
    </w:p>
    <w:p>
      <w:pPr>
        <w:pStyle w:val="74"/>
        <w:ind w:firstLine="400"/>
      </w:pPr>
      <w:r>
        <w:rPr>
          <w:rFonts w:hint="eastAsia"/>
        </w:rPr>
        <w:t>在执行时，为了确保结构安全，应按构件受力情况采取相应构造措施，对50m以下房屋，表列等级偏宽。一般说来，耗能构件应从严，非耗能构件可稍宽。框架体系应从严，支撑框架体系可稍宽；高层从严，多层可稍宽；6、7度可稍宽。不同结构体系的抗震性能差别较大，破坏后果也不同，在执行时应考虑此影响。</w:t>
      </w:r>
    </w:p>
    <w:p>
      <w:pPr>
        <w:pStyle w:val="4"/>
        <w:ind w:left="0"/>
      </w:pPr>
      <w:r>
        <w:rPr>
          <w:rFonts w:hint="eastAsia"/>
        </w:rPr>
        <w:t>开孔钢板组合剪力墙结构的楼盖结构应具有适宜的舒适度。楼盖结构的竖向振动频率不宜小于3Hz，竖向振动加速度峰值不应大于表5.4.</w:t>
      </w:r>
      <w:r>
        <w:t>8</w:t>
      </w:r>
      <w:r>
        <w:rPr>
          <w:rFonts w:hint="eastAsia"/>
        </w:rPr>
        <w:t>的限值。</w:t>
      </w:r>
    </w:p>
    <w:p>
      <w:pPr>
        <w:pStyle w:val="71"/>
        <w:ind w:firstLine="361"/>
      </w:pPr>
      <w:r>
        <w:rPr>
          <w:rFonts w:hint="eastAsia"/>
        </w:rPr>
        <w:t>表5.4.8 楼盖竖向振动加速度限值</w: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58"/>
        <w:gridCol w:w="3399"/>
        <w:gridCol w:w="305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58" w:type="dxa"/>
            <w:tcBorders>
              <w:tl2br w:val="nil"/>
              <w:tr2bl w:val="nil"/>
            </w:tcBorders>
          </w:tcPr>
          <w:p>
            <w:pPr>
              <w:pStyle w:val="94"/>
            </w:pPr>
            <w:r>
              <w:rPr>
                <w:rFonts w:hint="eastAsia"/>
              </w:rPr>
              <w:t>使用功能</w:t>
            </w:r>
          </w:p>
        </w:tc>
        <w:tc>
          <w:tcPr>
            <w:tcW w:w="6456" w:type="dxa"/>
            <w:gridSpan w:val="2"/>
            <w:tcBorders>
              <w:tl2br w:val="nil"/>
              <w:tr2bl w:val="nil"/>
            </w:tcBorders>
          </w:tcPr>
          <w:p>
            <w:pPr>
              <w:pStyle w:val="94"/>
            </w:pPr>
            <w:r>
              <w:rPr>
                <w:rFonts w:hint="eastAsia"/>
              </w:rPr>
              <w:t>峰值加速度限值（m/s</w:t>
            </w:r>
            <w:r>
              <w:rPr>
                <w:rFonts w:hint="eastAsia"/>
                <w:vertAlign w:val="superscript"/>
              </w:rPr>
              <w:t>2</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58" w:type="dxa"/>
            <w:vMerge w:val="restart"/>
            <w:tcBorders>
              <w:tl2br w:val="nil"/>
              <w:tr2bl w:val="nil"/>
            </w:tcBorders>
            <w:vAlign w:val="center"/>
          </w:tcPr>
          <w:p>
            <w:pPr>
              <w:pStyle w:val="94"/>
            </w:pPr>
            <w:r>
              <w:rPr>
                <w:rFonts w:hint="eastAsia"/>
              </w:rPr>
              <w:t>住宅、公寓</w:t>
            </w:r>
          </w:p>
        </w:tc>
        <w:tc>
          <w:tcPr>
            <w:tcW w:w="3399" w:type="dxa"/>
            <w:tcBorders>
              <w:tl2br w:val="nil"/>
              <w:tr2bl w:val="nil"/>
            </w:tcBorders>
          </w:tcPr>
          <w:p>
            <w:pPr>
              <w:pStyle w:val="94"/>
            </w:pPr>
            <w:r>
              <w:rPr>
                <w:rFonts w:hint="eastAsia"/>
              </w:rPr>
              <w:t>竖向自振频率不大于2Hz</w:t>
            </w:r>
          </w:p>
        </w:tc>
        <w:tc>
          <w:tcPr>
            <w:tcW w:w="3057" w:type="dxa"/>
            <w:tcBorders>
              <w:tl2br w:val="nil"/>
              <w:tr2bl w:val="nil"/>
            </w:tcBorders>
          </w:tcPr>
          <w:p>
            <w:pPr>
              <w:pStyle w:val="94"/>
            </w:pPr>
            <w:r>
              <w:rPr>
                <w:rFonts w:hint="eastAsia"/>
              </w:rPr>
              <w:t>竖向自振频率不小于4Hz</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58" w:type="dxa"/>
            <w:vMerge w:val="continue"/>
            <w:tcBorders>
              <w:tl2br w:val="nil"/>
              <w:tr2bl w:val="nil"/>
            </w:tcBorders>
          </w:tcPr>
          <w:p>
            <w:pPr>
              <w:pStyle w:val="94"/>
            </w:pPr>
          </w:p>
        </w:tc>
        <w:tc>
          <w:tcPr>
            <w:tcW w:w="3399" w:type="dxa"/>
            <w:tcBorders>
              <w:tl2br w:val="nil"/>
              <w:tr2bl w:val="nil"/>
            </w:tcBorders>
          </w:tcPr>
          <w:p>
            <w:pPr>
              <w:pStyle w:val="94"/>
            </w:pPr>
            <w:r>
              <w:rPr>
                <w:rFonts w:hint="eastAsia"/>
              </w:rPr>
              <w:t>0.07</w:t>
            </w:r>
          </w:p>
        </w:tc>
        <w:tc>
          <w:tcPr>
            <w:tcW w:w="3057" w:type="dxa"/>
            <w:tcBorders>
              <w:tl2br w:val="nil"/>
              <w:tr2bl w:val="nil"/>
            </w:tcBorders>
          </w:tcPr>
          <w:p>
            <w:pPr>
              <w:pStyle w:val="94"/>
            </w:pPr>
            <w:r>
              <w:rPr>
                <w:rFonts w:hint="eastAsia"/>
              </w:rPr>
              <w:t>0.05</w:t>
            </w:r>
          </w:p>
        </w:tc>
      </w:tr>
    </w:tbl>
    <w:p>
      <w:pPr>
        <w:spacing w:line="240" w:lineRule="auto"/>
        <w:ind w:firstLine="360"/>
      </w:pPr>
      <w:r>
        <w:rPr>
          <w:rFonts w:hint="eastAsia"/>
          <w:sz w:val="18"/>
          <w:szCs w:val="18"/>
        </w:rPr>
        <w:t>注：楼盖结构竖向频率为2Hz~4Hz时，峰值加速度限值可按线性插值选取。</w:t>
      </w:r>
    </w:p>
    <w:p>
      <w:pPr>
        <w:pStyle w:val="74"/>
        <w:ind w:firstLine="400"/>
      </w:pPr>
      <w:r>
        <w:rPr>
          <w:rFonts w:hint="eastAsia"/>
        </w:rPr>
        <w:t>【条文说明】本条引用现行行业标准《高层民用建筑钢结构技术规程》JGJ 99第3.5.7条，主要针对大跨度的楼盖结构。楼盖结构舒适度控制已成为钢结构设计的重要工作内容。对于钢</w:t>
      </w:r>
      <w:r>
        <w:t>-</w:t>
      </w:r>
      <w:r>
        <w:rPr>
          <w:rFonts w:hint="eastAsia"/>
        </w:rPr>
        <w:t>混凝土组合楼盖结构，一般情况下，楼盖结构竖向频率不宜小于</w:t>
      </w:r>
      <w:r>
        <w:t>3Hz</w:t>
      </w:r>
      <w:r>
        <w:rPr>
          <w:rFonts w:hint="eastAsia"/>
        </w:rPr>
        <w:t>，以保证结构具有适宜的舒适度，避免跳跃时周围人群的不舒适。一般住宅、公寓建筑楼盖结构的竖向频率小于</w:t>
      </w:r>
      <w:r>
        <w:t>3Hz</w:t>
      </w:r>
      <w:r>
        <w:rPr>
          <w:rFonts w:hint="eastAsia"/>
        </w:rPr>
        <w:t>时，需验算竖向振动加速度。</w:t>
      </w:r>
    </w:p>
    <w:p>
      <w:pPr>
        <w:pStyle w:val="4"/>
        <w:ind w:left="0"/>
      </w:pPr>
      <w:r>
        <w:rPr>
          <w:rFonts w:hint="eastAsia"/>
        </w:rPr>
        <w:t>在风荷载和多遇地震作用下，开孔钢板组合剪力墙结构弹性层间位移角不宜大于1</w:t>
      </w:r>
      <w:r>
        <w:t>/400</w:t>
      </w:r>
      <w:r>
        <w:rPr>
          <w:rFonts w:hint="eastAsia"/>
        </w:rPr>
        <w:t>；在罕遇地震作用下，开孔钢板组合剪力墙结构弹塑性层间位移角不宜大于</w:t>
      </w:r>
      <w:r>
        <w:t>1/80</w:t>
      </w:r>
      <w:r>
        <w:rPr>
          <w:rFonts w:hint="eastAsia"/>
        </w:rPr>
        <w:t>。</w:t>
      </w:r>
    </w:p>
    <w:p>
      <w:pPr>
        <w:pStyle w:val="74"/>
        <w:ind w:firstLine="400"/>
      </w:pPr>
      <w:r>
        <w:rPr>
          <w:rFonts w:hint="eastAsia"/>
        </w:rPr>
        <w:t>【条文说明】本条引用现行行业标准《钢板剪力墙技术规程》JGJ/T380中第3.4.1条和3.4.2条。</w:t>
      </w:r>
    </w:p>
    <w:p>
      <w:pPr>
        <w:pStyle w:val="74"/>
        <w:ind w:firstLine="400"/>
      </w:pPr>
    </w:p>
    <w:p>
      <w:pPr>
        <w:pStyle w:val="74"/>
        <w:ind w:firstLine="400"/>
      </w:pPr>
    </w:p>
    <w:p>
      <w:pPr>
        <w:pStyle w:val="3"/>
        <w:keepNext w:val="0"/>
        <w:keepLines w:val="0"/>
        <w:spacing w:before="156" w:after="156" w:line="360" w:lineRule="auto"/>
        <w:ind w:firstLine="482"/>
      </w:pPr>
      <w:bookmarkStart w:id="43" w:name="_Toc126"/>
      <w:bookmarkStart w:id="44" w:name="_Toc36207158"/>
      <w:r>
        <w:rPr>
          <w:rFonts w:hint="eastAsia"/>
        </w:rPr>
        <w:t xml:space="preserve"> 结构体系设计规定</w:t>
      </w:r>
      <w:bookmarkEnd w:id="43"/>
      <w:bookmarkEnd w:id="44"/>
    </w:p>
    <w:p>
      <w:pPr>
        <w:pStyle w:val="4"/>
        <w:keepNext w:val="0"/>
        <w:keepLines w:val="0"/>
        <w:ind w:left="0"/>
      </w:pPr>
      <w:r>
        <w:rPr>
          <w:rFonts w:hint="eastAsia"/>
        </w:rPr>
        <w:t>开孔钢板组合剪力墙结构体系可采用剪力墙结构、钢管混凝土框架-剪力墙结构、钢管混凝土框架-核心筒结构、筒中筒结构。</w:t>
      </w:r>
    </w:p>
    <w:p>
      <w:pPr>
        <w:pStyle w:val="74"/>
        <w:widowControl w:val="0"/>
        <w:ind w:firstLine="400"/>
      </w:pPr>
      <w:r>
        <w:rPr>
          <w:rFonts w:hint="eastAsia"/>
        </w:rPr>
        <w:t>【条文说明】该条引用现行国家标准《钢管混凝土结构技术规范》G</w:t>
      </w:r>
      <w:r>
        <w:t>B 50936</w:t>
      </w:r>
      <w:r>
        <w:rPr>
          <w:rFonts w:hint="eastAsia"/>
        </w:rPr>
        <w:t>第4</w:t>
      </w:r>
      <w:r>
        <w:t>.1.1</w:t>
      </w:r>
      <w:r>
        <w:rPr>
          <w:rFonts w:hint="eastAsia"/>
        </w:rPr>
        <w:t>条，根据现行行业标准《高层民用建筑钢结构技术规程》JGJ 99、《高层建筑混凝土结构技术规程》JGJ 3中的结构体系进行类比总结。</w:t>
      </w:r>
    </w:p>
    <w:p>
      <w:pPr>
        <w:pStyle w:val="4"/>
        <w:ind w:left="0"/>
      </w:pPr>
      <w:r>
        <w:rPr>
          <w:rFonts w:hint="eastAsia"/>
        </w:rPr>
        <w:t>开孔钢板组合剪力墙结构房屋的最大适用高度应符合表5.5.2的规定，平面和竖向不规则的结构适用高度宜适度降低。</w:t>
      </w:r>
    </w:p>
    <w:p>
      <w:pPr>
        <w:pStyle w:val="71"/>
        <w:ind w:firstLine="361"/>
      </w:pPr>
      <w:r>
        <w:rPr>
          <w:rFonts w:hint="eastAsia"/>
        </w:rPr>
        <w:t>表5.5.2 应用开孔钢板组合剪力墙结构房屋的最大适用高度（m）</w:t>
      </w:r>
    </w:p>
    <w:tbl>
      <w:tblPr>
        <w:tblStyle w:val="43"/>
        <w:tblW w:w="881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12"/>
        <w:gridCol w:w="5087"/>
        <w:gridCol w:w="975"/>
        <w:gridCol w:w="94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6899" w:type="dxa"/>
            <w:gridSpan w:val="2"/>
            <w:vMerge w:val="restart"/>
            <w:tcBorders>
              <w:tl2br w:val="nil"/>
              <w:tr2bl w:val="nil"/>
            </w:tcBorders>
            <w:vAlign w:val="center"/>
          </w:tcPr>
          <w:p>
            <w:pPr>
              <w:pStyle w:val="94"/>
            </w:pPr>
            <w:r>
              <w:rPr>
                <w:rFonts w:hint="eastAsia"/>
              </w:rPr>
              <w:t>结构体系</w:t>
            </w:r>
          </w:p>
        </w:tc>
        <w:tc>
          <w:tcPr>
            <w:tcW w:w="1915" w:type="dxa"/>
            <w:gridSpan w:val="2"/>
            <w:tcBorders>
              <w:tl2br w:val="nil"/>
              <w:tr2bl w:val="nil"/>
            </w:tcBorders>
            <w:vAlign w:val="center"/>
          </w:tcPr>
          <w:p>
            <w:pPr>
              <w:pStyle w:val="94"/>
            </w:pPr>
            <w:r>
              <w:rPr>
                <w:rFonts w:hint="eastAsia"/>
              </w:rPr>
              <w:t>抗震设防烈度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6899" w:type="dxa"/>
            <w:gridSpan w:val="2"/>
            <w:vMerge w:val="continue"/>
            <w:tcBorders>
              <w:tl2br w:val="nil"/>
              <w:tr2bl w:val="nil"/>
            </w:tcBorders>
            <w:vAlign w:val="center"/>
          </w:tcPr>
          <w:p>
            <w:pPr>
              <w:pStyle w:val="94"/>
            </w:pPr>
          </w:p>
        </w:tc>
        <w:tc>
          <w:tcPr>
            <w:tcW w:w="975" w:type="dxa"/>
            <w:tcBorders>
              <w:tl2br w:val="nil"/>
              <w:tr2bl w:val="nil"/>
            </w:tcBorders>
            <w:vAlign w:val="center"/>
          </w:tcPr>
          <w:p>
            <w:pPr>
              <w:pStyle w:val="94"/>
            </w:pPr>
            <w:r>
              <w:t>6</w:t>
            </w:r>
            <w:r>
              <w:rPr>
                <w:rFonts w:hint="eastAsia"/>
              </w:rPr>
              <w:t>度</w:t>
            </w:r>
          </w:p>
        </w:tc>
        <w:tc>
          <w:tcPr>
            <w:tcW w:w="940" w:type="dxa"/>
            <w:tcBorders>
              <w:tl2br w:val="nil"/>
              <w:tr2bl w:val="nil"/>
            </w:tcBorders>
            <w:vAlign w:val="center"/>
          </w:tcPr>
          <w:p>
            <w:pPr>
              <w:pStyle w:val="94"/>
            </w:pPr>
            <w:r>
              <w:t>7</w:t>
            </w:r>
            <w:r>
              <w:rPr>
                <w:rFonts w:hint="eastAsia"/>
              </w:rPr>
              <w:t>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812" w:type="dxa"/>
            <w:tcBorders>
              <w:tl2br w:val="nil"/>
              <w:tr2bl w:val="nil"/>
            </w:tcBorders>
            <w:vAlign w:val="center"/>
          </w:tcPr>
          <w:p>
            <w:pPr>
              <w:pStyle w:val="94"/>
            </w:pPr>
            <w:r>
              <w:rPr>
                <w:rFonts w:hint="eastAsia"/>
              </w:rPr>
              <w:t>框架</w:t>
            </w:r>
            <w:r>
              <w:t>-</w:t>
            </w:r>
            <w:r>
              <w:rPr>
                <w:rFonts w:hint="eastAsia"/>
              </w:rPr>
              <w:t>剪力墙结构</w:t>
            </w:r>
          </w:p>
        </w:tc>
        <w:tc>
          <w:tcPr>
            <w:tcW w:w="5087" w:type="dxa"/>
            <w:tcBorders>
              <w:tl2br w:val="nil"/>
              <w:tr2bl w:val="nil"/>
            </w:tcBorders>
            <w:vAlign w:val="center"/>
          </w:tcPr>
          <w:p>
            <w:pPr>
              <w:pStyle w:val="94"/>
            </w:pPr>
            <w:r>
              <w:rPr>
                <w:rFonts w:hint="eastAsia"/>
              </w:rPr>
              <w:t>钢框架、钢管混凝土框架</w:t>
            </w:r>
            <w:r>
              <w:t>-</w:t>
            </w:r>
            <w:r>
              <w:rPr>
                <w:rFonts w:hint="eastAsia"/>
              </w:rPr>
              <w:t>开孔钢板组合剪力墙</w:t>
            </w:r>
          </w:p>
        </w:tc>
        <w:tc>
          <w:tcPr>
            <w:tcW w:w="975" w:type="dxa"/>
            <w:tcBorders>
              <w:tl2br w:val="nil"/>
              <w:tr2bl w:val="nil"/>
            </w:tcBorders>
            <w:vAlign w:val="center"/>
          </w:tcPr>
          <w:p>
            <w:pPr>
              <w:pStyle w:val="94"/>
            </w:pPr>
            <w:r>
              <w:t>130</w:t>
            </w:r>
          </w:p>
        </w:tc>
        <w:tc>
          <w:tcPr>
            <w:tcW w:w="940" w:type="dxa"/>
            <w:tcBorders>
              <w:tl2br w:val="nil"/>
              <w:tr2bl w:val="nil"/>
            </w:tcBorders>
            <w:vAlign w:val="center"/>
          </w:tcPr>
          <w:p>
            <w:pPr>
              <w:pStyle w:val="94"/>
            </w:pPr>
            <w:r>
              <w:t>120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812" w:type="dxa"/>
            <w:tcBorders>
              <w:tl2br w:val="nil"/>
              <w:tr2bl w:val="nil"/>
            </w:tcBorders>
            <w:vAlign w:val="center"/>
          </w:tcPr>
          <w:p>
            <w:pPr>
              <w:pStyle w:val="94"/>
            </w:pPr>
            <w:r>
              <w:rPr>
                <w:rFonts w:hint="eastAsia"/>
              </w:rPr>
              <w:t>剪力墙结构</w:t>
            </w:r>
          </w:p>
        </w:tc>
        <w:tc>
          <w:tcPr>
            <w:tcW w:w="5087" w:type="dxa"/>
            <w:tcBorders>
              <w:tl2br w:val="nil"/>
              <w:tr2bl w:val="nil"/>
            </w:tcBorders>
            <w:vAlign w:val="center"/>
          </w:tcPr>
          <w:p>
            <w:pPr>
              <w:pStyle w:val="94"/>
            </w:pPr>
            <w:r>
              <w:rPr>
                <w:rFonts w:hint="eastAsia"/>
              </w:rPr>
              <w:t>开孔钢板组合剪力墙</w:t>
            </w:r>
          </w:p>
        </w:tc>
        <w:tc>
          <w:tcPr>
            <w:tcW w:w="975" w:type="dxa"/>
            <w:tcBorders>
              <w:tl2br w:val="nil"/>
              <w:tr2bl w:val="nil"/>
            </w:tcBorders>
            <w:vAlign w:val="center"/>
          </w:tcPr>
          <w:p>
            <w:pPr>
              <w:pStyle w:val="94"/>
            </w:pPr>
            <w:r>
              <w:t>140</w:t>
            </w:r>
          </w:p>
        </w:tc>
        <w:tc>
          <w:tcPr>
            <w:tcW w:w="940" w:type="dxa"/>
            <w:tcBorders>
              <w:tl2br w:val="nil"/>
              <w:tr2bl w:val="nil"/>
            </w:tcBorders>
            <w:vAlign w:val="center"/>
          </w:tcPr>
          <w:p>
            <w:pPr>
              <w:pStyle w:val="94"/>
            </w:pPr>
            <w:r>
              <w:t>120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812" w:type="dxa"/>
            <w:tcBorders>
              <w:tl2br w:val="nil"/>
              <w:tr2bl w:val="nil"/>
            </w:tcBorders>
            <w:vAlign w:val="center"/>
          </w:tcPr>
          <w:p>
            <w:pPr>
              <w:pStyle w:val="94"/>
            </w:pPr>
            <w:r>
              <w:rPr>
                <w:rFonts w:hint="eastAsia"/>
              </w:rPr>
              <w:t>框架</w:t>
            </w:r>
            <w:r>
              <w:t>-</w:t>
            </w:r>
            <w:r>
              <w:rPr>
                <w:rFonts w:hint="eastAsia"/>
              </w:rPr>
              <w:t>核心筒结构</w:t>
            </w:r>
          </w:p>
        </w:tc>
        <w:tc>
          <w:tcPr>
            <w:tcW w:w="5087" w:type="dxa"/>
            <w:tcBorders>
              <w:tl2br w:val="nil"/>
              <w:tr2bl w:val="nil"/>
            </w:tcBorders>
            <w:vAlign w:val="center"/>
          </w:tcPr>
          <w:p>
            <w:pPr>
              <w:pStyle w:val="94"/>
            </w:pPr>
            <w:r>
              <w:rPr>
                <w:rFonts w:hint="eastAsia"/>
              </w:rPr>
              <w:t>钢管混凝土框架</w:t>
            </w:r>
            <w:r>
              <w:t>-</w:t>
            </w:r>
            <w:r>
              <w:rPr>
                <w:rFonts w:hint="eastAsia"/>
              </w:rPr>
              <w:t>开孔钢板组合剪力墙核心筒</w:t>
            </w:r>
          </w:p>
        </w:tc>
        <w:tc>
          <w:tcPr>
            <w:tcW w:w="975" w:type="dxa"/>
            <w:tcBorders>
              <w:tl2br w:val="nil"/>
              <w:tr2bl w:val="nil"/>
            </w:tcBorders>
            <w:vAlign w:val="center"/>
          </w:tcPr>
          <w:p>
            <w:pPr>
              <w:pStyle w:val="94"/>
            </w:pPr>
            <w:r>
              <w:t>220</w:t>
            </w:r>
          </w:p>
        </w:tc>
        <w:tc>
          <w:tcPr>
            <w:tcW w:w="940" w:type="dxa"/>
            <w:tcBorders>
              <w:tl2br w:val="nil"/>
              <w:tr2bl w:val="nil"/>
            </w:tcBorders>
            <w:vAlign w:val="center"/>
          </w:tcPr>
          <w:p>
            <w:pPr>
              <w:pStyle w:val="94"/>
            </w:pPr>
            <w:r>
              <w:t>190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1812" w:type="dxa"/>
            <w:tcBorders>
              <w:tl2br w:val="nil"/>
              <w:tr2bl w:val="nil"/>
            </w:tcBorders>
            <w:vAlign w:val="center"/>
          </w:tcPr>
          <w:p>
            <w:pPr>
              <w:pStyle w:val="94"/>
            </w:pPr>
            <w:r>
              <w:rPr>
                <w:rFonts w:hint="eastAsia"/>
              </w:rPr>
              <w:t>筒中筒结构</w:t>
            </w:r>
          </w:p>
        </w:tc>
        <w:tc>
          <w:tcPr>
            <w:tcW w:w="5087" w:type="dxa"/>
            <w:tcBorders>
              <w:tl2br w:val="nil"/>
              <w:tr2bl w:val="nil"/>
            </w:tcBorders>
            <w:vAlign w:val="center"/>
          </w:tcPr>
          <w:p>
            <w:pPr>
              <w:pStyle w:val="94"/>
            </w:pPr>
            <w:r>
              <w:rPr>
                <w:rFonts w:hint="eastAsia"/>
              </w:rPr>
              <w:t>钢管混凝土外筒</w:t>
            </w:r>
            <w:r>
              <w:t>-</w:t>
            </w:r>
            <w:r>
              <w:rPr>
                <w:rFonts w:hint="eastAsia"/>
              </w:rPr>
              <w:t>开孔钢板组合剪力墙核心筒</w:t>
            </w:r>
          </w:p>
        </w:tc>
        <w:tc>
          <w:tcPr>
            <w:tcW w:w="975" w:type="dxa"/>
            <w:tcBorders>
              <w:tl2br w:val="nil"/>
              <w:tr2bl w:val="nil"/>
            </w:tcBorders>
            <w:vAlign w:val="center"/>
          </w:tcPr>
          <w:p>
            <w:pPr>
              <w:pStyle w:val="94"/>
            </w:pPr>
            <w:r>
              <w:t>280</w:t>
            </w:r>
          </w:p>
        </w:tc>
        <w:tc>
          <w:tcPr>
            <w:tcW w:w="940" w:type="dxa"/>
            <w:tcBorders>
              <w:tl2br w:val="nil"/>
              <w:tr2bl w:val="nil"/>
            </w:tcBorders>
            <w:vAlign w:val="center"/>
          </w:tcPr>
          <w:p>
            <w:pPr>
              <w:pStyle w:val="94"/>
            </w:pPr>
            <w:r>
              <w:t>230</w:t>
            </w:r>
          </w:p>
        </w:tc>
      </w:tr>
    </w:tbl>
    <w:p>
      <w:pPr>
        <w:spacing w:line="240" w:lineRule="auto"/>
        <w:ind w:left="897" w:leftChars="170" w:hanging="540" w:hangingChars="300"/>
        <w:rPr>
          <w:sz w:val="18"/>
          <w:szCs w:val="18"/>
        </w:rPr>
      </w:pPr>
      <w:r>
        <w:rPr>
          <w:rFonts w:hint="eastAsia"/>
          <w:sz w:val="18"/>
          <w:szCs w:val="18"/>
        </w:rPr>
        <w:t>注：</w:t>
      </w:r>
      <w:r>
        <w:rPr>
          <w:sz w:val="18"/>
          <w:szCs w:val="18"/>
        </w:rPr>
        <w:t xml:space="preserve">1 </w:t>
      </w:r>
      <w:r>
        <w:rPr>
          <w:rFonts w:hint="eastAsia"/>
          <w:sz w:val="18"/>
          <w:szCs w:val="18"/>
        </w:rPr>
        <w:t>房屋高度指室外地面至主要屋面板板顶的高度，不包括突出屋面的水箱、电梯间、构架等部分高度，对带阁楼的坡屋顶应算至坡高</w:t>
      </w:r>
      <w:r>
        <w:rPr>
          <w:sz w:val="18"/>
          <w:szCs w:val="18"/>
        </w:rPr>
        <w:t>1/2</w:t>
      </w:r>
      <w:r>
        <w:rPr>
          <w:rFonts w:hint="eastAsia"/>
          <w:sz w:val="18"/>
          <w:szCs w:val="18"/>
        </w:rPr>
        <w:t>处；</w:t>
      </w:r>
    </w:p>
    <w:p>
      <w:pPr>
        <w:spacing w:line="240" w:lineRule="auto"/>
        <w:ind w:firstLine="720" w:firstLineChars="400"/>
        <w:rPr>
          <w:sz w:val="18"/>
          <w:szCs w:val="18"/>
        </w:rPr>
      </w:pPr>
      <w:r>
        <w:rPr>
          <w:sz w:val="18"/>
          <w:szCs w:val="18"/>
        </w:rPr>
        <w:t xml:space="preserve">2 </w:t>
      </w:r>
      <w:r>
        <w:rPr>
          <w:rFonts w:hint="eastAsia"/>
          <w:sz w:val="18"/>
          <w:szCs w:val="18"/>
        </w:rPr>
        <w:t>位于</w:t>
      </w:r>
      <w:r>
        <w:rPr>
          <w:sz w:val="18"/>
          <w:szCs w:val="18"/>
        </w:rPr>
        <w:t>IV</w:t>
      </w:r>
      <w:r>
        <w:rPr>
          <w:rFonts w:hint="eastAsia"/>
          <w:sz w:val="18"/>
          <w:szCs w:val="18"/>
        </w:rPr>
        <w:t>类场地或平面和竖向均不规则的结构，表中房屋使用的最大高度应适当降低；</w:t>
      </w:r>
    </w:p>
    <w:p>
      <w:pPr>
        <w:spacing w:line="240" w:lineRule="auto"/>
        <w:ind w:firstLine="720" w:firstLineChars="400"/>
        <w:rPr>
          <w:sz w:val="18"/>
          <w:szCs w:val="18"/>
        </w:rPr>
      </w:pPr>
      <w:r>
        <w:rPr>
          <w:sz w:val="18"/>
          <w:szCs w:val="18"/>
        </w:rPr>
        <w:t xml:space="preserve">3 </w:t>
      </w:r>
      <w:r>
        <w:rPr>
          <w:rFonts w:hint="eastAsia"/>
          <w:sz w:val="18"/>
          <w:szCs w:val="18"/>
        </w:rPr>
        <w:t>房屋高度超过表中规定的数值时，结构设计应有可靠依据，并采取有效的加强措施；</w:t>
      </w:r>
    </w:p>
    <w:p>
      <w:pPr>
        <w:spacing w:line="240" w:lineRule="auto"/>
        <w:ind w:firstLine="720" w:firstLineChars="400"/>
        <w:rPr>
          <w:sz w:val="18"/>
          <w:szCs w:val="18"/>
        </w:rPr>
      </w:pPr>
      <w:r>
        <w:rPr>
          <w:sz w:val="18"/>
          <w:szCs w:val="18"/>
        </w:rPr>
        <w:t xml:space="preserve">4 </w:t>
      </w:r>
      <w:r>
        <w:rPr>
          <w:rFonts w:hint="eastAsia"/>
          <w:sz w:val="18"/>
          <w:szCs w:val="18"/>
        </w:rPr>
        <w:t>甲类建筑，</w:t>
      </w:r>
      <w:r>
        <w:rPr>
          <w:sz w:val="18"/>
          <w:szCs w:val="18"/>
        </w:rPr>
        <w:t>6</w:t>
      </w:r>
      <w:r>
        <w:rPr>
          <w:rFonts w:hint="eastAsia"/>
          <w:sz w:val="18"/>
          <w:szCs w:val="18"/>
        </w:rPr>
        <w:t>、</w:t>
      </w:r>
      <w:r>
        <w:rPr>
          <w:sz w:val="18"/>
          <w:szCs w:val="18"/>
        </w:rPr>
        <w:t>7</w:t>
      </w:r>
      <w:r>
        <w:rPr>
          <w:rFonts w:hint="eastAsia"/>
          <w:sz w:val="18"/>
          <w:szCs w:val="18"/>
        </w:rPr>
        <w:t>度时宜按本地区抗震设防烈度提高</w:t>
      </w:r>
      <w:r>
        <w:rPr>
          <w:sz w:val="18"/>
          <w:szCs w:val="18"/>
        </w:rPr>
        <w:t>1</w:t>
      </w:r>
      <w:r>
        <w:rPr>
          <w:rFonts w:hint="eastAsia"/>
          <w:sz w:val="18"/>
          <w:szCs w:val="18"/>
        </w:rPr>
        <w:t>度后符合本表要求。</w:t>
      </w:r>
    </w:p>
    <w:p>
      <w:pPr>
        <w:pStyle w:val="74"/>
        <w:ind w:firstLine="400"/>
      </w:pPr>
      <w:r>
        <w:rPr>
          <w:rFonts w:hint="eastAsia"/>
        </w:rPr>
        <w:t>【条文说明】本规定取自现行行业标准《组合结构设计规范》</w:t>
      </w:r>
      <w:r>
        <w:t>JGJ 138</w:t>
      </w:r>
      <w:r>
        <w:rPr>
          <w:rFonts w:hint="eastAsia"/>
        </w:rPr>
        <w:t>中结构的最大适用高度。钢板组合剪力墙结构最大适用高度取与钢筋混凝土剪力墙结构相同的规定，虽然钢板组合剪力墙结构的抗震性能优于钢筋混凝土剪力墙，但由于实际应用时短肢剪力墙较多，当短肢剪力墙承担的底部倾覆力矩不小于结构底部总地震倾覆力矩的</w:t>
      </w:r>
      <w:r>
        <w:t>30%</w:t>
      </w:r>
      <w:r>
        <w:rPr>
          <w:rFonts w:hint="eastAsia"/>
        </w:rPr>
        <w:t>时，房屋最大适用高度应适当降低，所以取为与钢筋混凝土剪力墙相同的规定。</w:t>
      </w:r>
    </w:p>
    <w:p>
      <w:pPr>
        <w:pStyle w:val="4"/>
        <w:ind w:left="0"/>
      </w:pPr>
      <w:r>
        <w:rPr>
          <w:rFonts w:hint="eastAsia"/>
        </w:rPr>
        <w:t>高层民用建筑宜不设防震缝；体型复杂、平立面不规则的建筑，应根据不规则程度、地基基础等因素，确定是否设防震缝。防震缝应留有足够的宽度，其上部结构应完全分开；当在适当部位设置防震缝时，宜形成多个较规则的抗侧力结构单元。开孔钢板组合剪力墙结构的防震缝最小宽度按现行国家标准《建筑抗震设计规范》</w:t>
      </w:r>
      <w:r>
        <w:t>GB 50011</w:t>
      </w:r>
      <w:r>
        <w:rPr>
          <w:rFonts w:hint="eastAsia"/>
        </w:rPr>
        <w:t>相关规定执行，不应小于钢筋混凝土框架结构缝宽的</w:t>
      </w:r>
      <w:r>
        <w:t>1.5</w:t>
      </w:r>
      <w:r>
        <w:rPr>
          <w:rFonts w:hint="eastAsia"/>
        </w:rPr>
        <w:t>倍。当设置伸缩缝和沉降缝时，其宽度应符合防震缝的要求。</w:t>
      </w:r>
    </w:p>
    <w:p>
      <w:pPr>
        <w:pStyle w:val="74"/>
        <w:ind w:firstLine="400"/>
      </w:pPr>
      <w:r>
        <w:rPr>
          <w:rFonts w:hint="eastAsia"/>
        </w:rPr>
        <w:t>【条文说明】本条参考现行国家及行业标准《建筑抗震设计规范》</w:t>
      </w:r>
      <w:r>
        <w:t>GB 50011</w:t>
      </w:r>
      <w:r>
        <w:rPr>
          <w:rFonts w:hint="eastAsia"/>
        </w:rPr>
        <w:t>中</w:t>
      </w:r>
      <w:r>
        <w:t>6.1.4</w:t>
      </w:r>
      <w:r>
        <w:rPr>
          <w:rFonts w:hint="eastAsia"/>
        </w:rPr>
        <w:t>条和《高层民用建筑钢结构技术规程》</w:t>
      </w:r>
      <w:r>
        <w:t>JGJ 99</w:t>
      </w:r>
      <w:r>
        <w:rPr>
          <w:rFonts w:hint="eastAsia"/>
        </w:rPr>
        <w:t>中</w:t>
      </w:r>
      <w:r>
        <w:t>3.3.4</w:t>
      </w:r>
      <w:r>
        <w:rPr>
          <w:rFonts w:hint="eastAsia"/>
        </w:rPr>
        <w:t>、</w:t>
      </w:r>
      <w:r>
        <w:t>3.3.5</w:t>
      </w:r>
      <w:r>
        <w:rPr>
          <w:rFonts w:hint="eastAsia"/>
        </w:rPr>
        <w:t>条的规定。</w:t>
      </w:r>
    </w:p>
    <w:p>
      <w:pPr>
        <w:pStyle w:val="4"/>
        <w:ind w:left="0"/>
      </w:pPr>
      <w:r>
        <w:rPr>
          <w:rFonts w:hint="eastAsia"/>
          <w:bCs w:val="0"/>
        </w:rPr>
        <w:t>抗震</w:t>
      </w:r>
      <w:r>
        <w:rPr>
          <w:rFonts w:hint="eastAsia"/>
        </w:rPr>
        <w:t>设计时，装配式开孔钢板组合剪力墙高层建筑结构不应全部采用短肢剪力墙，在规定的水平地震作用下，短肢剪力墙承受的底部倾覆力矩不宜大于结构底部总地震倾覆力矩的</w:t>
      </w:r>
      <w:r>
        <w:t>50%</w:t>
      </w:r>
      <w:r>
        <w:rPr>
          <w:rFonts w:hint="eastAsia"/>
        </w:rPr>
        <w:t>。</w:t>
      </w:r>
    </w:p>
    <w:p>
      <w:pPr>
        <w:pStyle w:val="74"/>
        <w:ind w:firstLine="400"/>
      </w:pPr>
      <w:r>
        <w:rPr>
          <w:rFonts w:hint="eastAsia"/>
        </w:rPr>
        <w:t>【条文说明】本条参考现行行业标准《高层建筑混凝土结构技术规程》</w:t>
      </w:r>
      <w:r>
        <w:t>JGJ</w:t>
      </w:r>
      <w:r>
        <w:rPr>
          <w:rFonts w:hint="eastAsia"/>
        </w:rPr>
        <w:t xml:space="preserve"> 3中的</w:t>
      </w:r>
      <w:r>
        <w:t>7.1.8</w:t>
      </w:r>
      <w:r>
        <w:rPr>
          <w:rFonts w:hint="eastAsia"/>
        </w:rPr>
        <w:t>条规定。</w:t>
      </w:r>
    </w:p>
    <w:p>
      <w:pPr>
        <w:pStyle w:val="3"/>
        <w:spacing w:before="156" w:after="156" w:line="360" w:lineRule="auto"/>
        <w:ind w:firstLine="482"/>
      </w:pPr>
      <w:bookmarkStart w:id="45" w:name="_Toc36207159"/>
      <w:bookmarkStart w:id="46" w:name="_Toc13896"/>
      <w:bookmarkStart w:id="47" w:name="_Toc532376144"/>
      <w:bookmarkStart w:id="48" w:name="_Toc532376167"/>
      <w:r>
        <w:rPr>
          <w:rFonts w:hint="eastAsia"/>
        </w:rPr>
        <w:t xml:space="preserve"> 结构构件设计规定</w:t>
      </w:r>
      <w:bookmarkEnd w:id="45"/>
      <w:bookmarkEnd w:id="46"/>
      <w:bookmarkEnd w:id="47"/>
      <w:bookmarkEnd w:id="48"/>
    </w:p>
    <w:p>
      <w:pPr>
        <w:spacing w:line="288" w:lineRule="auto"/>
      </w:pPr>
      <w:r>
        <w:rPr>
          <w:rFonts w:hint="eastAsia"/>
        </w:rPr>
        <w:t>开孔钢板组合剪力墙的墙体外包钢板采用标准连接件进行连接形成空腔并填充混凝土，构造如图5.6.1。双侧钢板上开有相同矩阵小圆孔、并在相对开孔处焊接标准连接件，形成加劲双钢板空腔，最后在空腔内浇筑混凝土形成组合剪力墙。</w:t>
      </w:r>
    </w:p>
    <w:tbl>
      <w:tblPr>
        <w:tblStyle w:val="43"/>
        <w:tblW w:w="8306" w:type="dxa"/>
        <w:jc w:val="center"/>
        <w:tblLayout w:type="fixed"/>
        <w:tblCellMar>
          <w:top w:w="0" w:type="dxa"/>
          <w:left w:w="108" w:type="dxa"/>
          <w:bottom w:w="0" w:type="dxa"/>
          <w:right w:w="108" w:type="dxa"/>
        </w:tblCellMar>
      </w:tblPr>
      <w:tblGrid>
        <w:gridCol w:w="8306"/>
      </w:tblGrid>
      <w:tr>
        <w:tblPrEx>
          <w:tblCellMar>
            <w:top w:w="0" w:type="dxa"/>
            <w:left w:w="108" w:type="dxa"/>
            <w:bottom w:w="0" w:type="dxa"/>
            <w:right w:w="108" w:type="dxa"/>
          </w:tblCellMar>
        </w:tblPrEx>
        <w:trPr>
          <w:jc w:val="center"/>
        </w:trPr>
        <w:tc>
          <w:tcPr>
            <w:tcW w:w="8306" w:type="dxa"/>
            <w:vAlign w:val="center"/>
          </w:tcPr>
          <w:p>
            <w:pPr>
              <w:pStyle w:val="96"/>
              <w:rPr>
                <w:sz w:val="18"/>
                <w:szCs w:val="18"/>
              </w:rPr>
            </w:pPr>
            <w:r>
              <w:rPr>
                <w:sz w:val="18"/>
                <w:szCs w:val="18"/>
              </w:rPr>
              <w:drawing>
                <wp:inline distT="0" distB="0" distL="0" distR="0">
                  <wp:extent cx="3733165" cy="714375"/>
                  <wp:effectExtent l="19050" t="0" r="359" b="0"/>
                  <wp:docPr id="545" name="图片 545" descr="C:\Users\ADMINI~1\AppData\Local\Temp\16369641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descr="C:\Users\ADMINI~1\AppData\Local\Temp\1636964100(1).png"/>
                          <pic:cNvPicPr>
                            <a:picLocks noChangeAspect="1" noChangeArrowheads="1"/>
                          </pic:cNvPicPr>
                        </pic:nvPicPr>
                        <pic:blipFill>
                          <a:blip r:embed="rId53"/>
                          <a:srcRect/>
                          <a:stretch>
                            <a:fillRect/>
                          </a:stretch>
                        </pic:blipFill>
                        <pic:spPr>
                          <a:xfrm>
                            <a:off x="0" y="0"/>
                            <a:ext cx="3735404" cy="715238"/>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jc w:val="center"/>
        </w:trPr>
        <w:tc>
          <w:tcPr>
            <w:tcW w:w="8306" w:type="dxa"/>
            <w:vAlign w:val="center"/>
          </w:tcPr>
          <w:p>
            <w:pPr>
              <w:pStyle w:val="96"/>
              <w:rPr>
                <w:sz w:val="18"/>
                <w:szCs w:val="18"/>
              </w:rPr>
            </w:pPr>
            <w:r>
              <w:rPr>
                <w:rFonts w:hint="eastAsia"/>
                <w:sz w:val="18"/>
                <w:szCs w:val="18"/>
              </w:rPr>
              <w:t>（</w:t>
            </w:r>
            <w:r>
              <w:rPr>
                <w:sz w:val="18"/>
                <w:szCs w:val="18"/>
              </w:rPr>
              <w:t>a</w:t>
            </w:r>
            <w:r>
              <w:rPr>
                <w:rFonts w:hint="eastAsia"/>
                <w:sz w:val="18"/>
                <w:szCs w:val="18"/>
              </w:rPr>
              <w:t>）一字型墙</w:t>
            </w:r>
          </w:p>
        </w:tc>
      </w:tr>
      <w:tr>
        <w:tblPrEx>
          <w:tblCellMar>
            <w:top w:w="0" w:type="dxa"/>
            <w:left w:w="108" w:type="dxa"/>
            <w:bottom w:w="0" w:type="dxa"/>
            <w:right w:w="108" w:type="dxa"/>
          </w:tblCellMar>
        </w:tblPrEx>
        <w:trPr>
          <w:jc w:val="center"/>
        </w:trPr>
        <w:tc>
          <w:tcPr>
            <w:tcW w:w="8306" w:type="dxa"/>
            <w:vAlign w:val="center"/>
          </w:tcPr>
          <w:p>
            <w:pPr>
              <w:pStyle w:val="96"/>
            </w:pPr>
            <w:r>
              <w:drawing>
                <wp:inline distT="0" distB="0" distL="0" distR="0">
                  <wp:extent cx="4011930" cy="2265680"/>
                  <wp:effectExtent l="19050" t="0" r="7153" b="0"/>
                  <wp:docPr id="544" name="图片 544" descr="C:\Users\ADMINI~1\AppData\Local\Temp\16369640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descr="C:\Users\ADMINI~1\AppData\Local\Temp\1636964019(1).png"/>
                          <pic:cNvPicPr>
                            <a:picLocks noChangeAspect="1" noChangeArrowheads="1"/>
                          </pic:cNvPicPr>
                        </pic:nvPicPr>
                        <pic:blipFill>
                          <a:blip r:embed="rId54"/>
                          <a:srcRect/>
                          <a:stretch>
                            <a:fillRect/>
                          </a:stretch>
                        </pic:blipFill>
                        <pic:spPr>
                          <a:xfrm>
                            <a:off x="0" y="0"/>
                            <a:ext cx="4012129" cy="2265830"/>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jc w:val="center"/>
        </w:trPr>
        <w:tc>
          <w:tcPr>
            <w:tcW w:w="8306" w:type="dxa"/>
            <w:vAlign w:val="center"/>
          </w:tcPr>
          <w:p>
            <w:pPr>
              <w:pStyle w:val="80"/>
              <w:ind w:firstLine="360"/>
              <w:rPr>
                <w:szCs w:val="18"/>
              </w:rPr>
            </w:pPr>
            <w:r>
              <w:rPr>
                <w:rFonts w:hint="eastAsia"/>
                <w:szCs w:val="18"/>
              </w:rPr>
              <w:t>（</w:t>
            </w:r>
            <w:r>
              <w:rPr>
                <w:szCs w:val="18"/>
              </w:rPr>
              <w:t>b</w:t>
            </w:r>
            <w:r>
              <w:rPr>
                <w:rFonts w:hint="eastAsia"/>
                <w:szCs w:val="18"/>
              </w:rPr>
              <w:t>）</w:t>
            </w:r>
            <w:r>
              <w:rPr>
                <w:szCs w:val="18"/>
              </w:rPr>
              <w:t>T</w:t>
            </w:r>
            <w:r>
              <w:rPr>
                <w:rFonts w:hint="eastAsia"/>
                <w:szCs w:val="18"/>
              </w:rPr>
              <w:t>形墙</w:t>
            </w:r>
          </w:p>
          <w:tbl>
            <w:tblPr>
              <w:tblStyle w:val="44"/>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35" w:type="dxa"/>
                </w:tcPr>
                <w:p>
                  <w:pPr>
                    <w:spacing w:line="288" w:lineRule="auto"/>
                    <w:ind w:firstLine="480"/>
                    <w:jc w:val="center"/>
                    <w:rPr>
                      <w:sz w:val="24"/>
                      <w:szCs w:val="24"/>
                    </w:rPr>
                  </w:pPr>
                  <w:r>
                    <w:rPr>
                      <w:sz w:val="24"/>
                      <w:szCs w:val="24"/>
                    </w:rPr>
                    <w:drawing>
                      <wp:inline distT="0" distB="0" distL="0" distR="0">
                        <wp:extent cx="2559685" cy="2367915"/>
                        <wp:effectExtent l="19050" t="0" r="0" b="0"/>
                        <wp:docPr id="546" name="图片 546" descr="C:\Users\ADMINI~1\AppData\Local\Temp\16369643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descr="C:\Users\ADMINI~1\AppData\Local\Temp\1636964368(1).png"/>
                                <pic:cNvPicPr>
                                  <a:picLocks noChangeAspect="1" noChangeArrowheads="1"/>
                                </pic:cNvPicPr>
                              </pic:nvPicPr>
                              <pic:blipFill>
                                <a:blip r:embed="rId55"/>
                                <a:srcRect/>
                                <a:stretch>
                                  <a:fillRect/>
                                </a:stretch>
                              </pic:blipFill>
                              <pic:spPr>
                                <a:xfrm>
                                  <a:off x="0" y="0"/>
                                  <a:ext cx="2561800" cy="2369702"/>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35" w:type="dxa"/>
                </w:tcPr>
                <w:p>
                  <w:pPr>
                    <w:pStyle w:val="80"/>
                    <w:ind w:firstLine="360"/>
                  </w:pPr>
                  <w:r>
                    <w:rPr>
                      <w:rFonts w:hint="eastAsia"/>
                      <w:szCs w:val="18"/>
                    </w:rPr>
                    <w:t>（</w:t>
                  </w:r>
                  <w:r>
                    <w:rPr>
                      <w:szCs w:val="18"/>
                    </w:rPr>
                    <w:t>c</w:t>
                  </w:r>
                  <w:r>
                    <w:rPr>
                      <w:rFonts w:hint="eastAsia"/>
                      <w:szCs w:val="18"/>
                    </w:rPr>
                    <w:t>）</w:t>
                  </w:r>
                  <w:r>
                    <w:rPr>
                      <w:szCs w:val="18"/>
                    </w:rPr>
                    <w:t>L</w:t>
                  </w:r>
                  <w:r>
                    <w:rPr>
                      <w:rFonts w:hint="eastAsia"/>
                      <w:szCs w:val="18"/>
                    </w:rPr>
                    <w:t>形墙</w:t>
                  </w:r>
                </w:p>
              </w:tc>
            </w:tr>
          </w:tbl>
          <w:p>
            <w:pPr>
              <w:pStyle w:val="80"/>
              <w:ind w:firstLine="361"/>
              <w:rPr>
                <w:b/>
                <w:bCs/>
              </w:rPr>
            </w:pPr>
            <w:r>
              <w:rPr>
                <w:rFonts w:hint="eastAsia"/>
                <w:b/>
                <w:bCs/>
              </w:rPr>
              <w:t>图5.6.1开孔钢板组合剪力墙构造</w:t>
            </w:r>
          </w:p>
          <w:p>
            <w:pPr>
              <w:spacing w:line="288" w:lineRule="auto"/>
              <w:ind w:firstLine="360"/>
              <w:jc w:val="center"/>
              <w:rPr>
                <w:sz w:val="18"/>
                <w:szCs w:val="22"/>
              </w:rPr>
            </w:pPr>
            <w:r>
              <w:rPr>
                <w:sz w:val="18"/>
                <w:szCs w:val="22"/>
              </w:rPr>
              <w:t>1-</w:t>
            </w:r>
            <w:r>
              <w:rPr>
                <w:rFonts w:hint="eastAsia"/>
                <w:sz w:val="18"/>
                <w:szCs w:val="22"/>
              </w:rPr>
              <w:t>标准连接件，</w:t>
            </w:r>
            <w:r>
              <w:rPr>
                <w:sz w:val="18"/>
                <w:szCs w:val="22"/>
              </w:rPr>
              <w:t>2-</w:t>
            </w:r>
            <w:r>
              <w:rPr>
                <w:rFonts w:hint="eastAsia"/>
                <w:sz w:val="18"/>
                <w:szCs w:val="22"/>
              </w:rPr>
              <w:t>钢板，</w:t>
            </w:r>
            <w:r>
              <w:rPr>
                <w:sz w:val="18"/>
                <w:szCs w:val="22"/>
              </w:rPr>
              <w:t>3-</w:t>
            </w:r>
            <w:r>
              <w:rPr>
                <w:rFonts w:hint="eastAsia"/>
                <w:sz w:val="18"/>
                <w:szCs w:val="22"/>
              </w:rPr>
              <w:t>混凝土，</w:t>
            </w:r>
            <w:r>
              <w:rPr>
                <w:sz w:val="18"/>
                <w:szCs w:val="22"/>
              </w:rPr>
              <w:t>4-</w:t>
            </w:r>
            <w:r>
              <w:rPr>
                <w:rFonts w:hint="eastAsia"/>
                <w:sz w:val="18"/>
                <w:szCs w:val="22"/>
              </w:rPr>
              <w:t>栓钉，</w:t>
            </w:r>
            <w:r>
              <w:rPr>
                <w:sz w:val="18"/>
                <w:szCs w:val="22"/>
              </w:rPr>
              <w:t>5-</w:t>
            </w:r>
            <w:r>
              <w:rPr>
                <w:rFonts w:hint="eastAsia"/>
                <w:sz w:val="18"/>
                <w:szCs w:val="22"/>
              </w:rPr>
              <w:t>端头钢板，</w:t>
            </w:r>
            <w:r>
              <w:rPr>
                <w:sz w:val="18"/>
                <w:szCs w:val="22"/>
              </w:rPr>
              <w:t>6-</w:t>
            </w:r>
            <w:r>
              <w:rPr>
                <w:rFonts w:hint="eastAsia"/>
                <w:sz w:val="18"/>
                <w:szCs w:val="22"/>
              </w:rPr>
              <w:t>方管混凝土暗柱。</w:t>
            </w:r>
          </w:p>
        </w:tc>
      </w:tr>
    </w:tbl>
    <w:p>
      <w:pPr>
        <w:pStyle w:val="4"/>
        <w:ind w:left="0"/>
      </w:pPr>
      <w:r>
        <w:rPr>
          <w:rFonts w:hint="eastAsia"/>
        </w:rPr>
        <w:t>开孔</w:t>
      </w:r>
      <w:r>
        <w:t>钢板组合剪力墙的墙</w:t>
      </w:r>
      <w:r>
        <w:rPr>
          <w:rFonts w:hint="eastAsia"/>
        </w:rPr>
        <w:t>肢高度与厚度之比宜大于4且不宜大于8。</w:t>
      </w:r>
    </w:p>
    <w:p>
      <w:pPr>
        <w:pStyle w:val="74"/>
        <w:ind w:firstLine="400"/>
      </w:pPr>
      <w:r>
        <w:rPr>
          <w:rFonts w:hint="eastAsia"/>
        </w:rPr>
        <w:t>【条文说明】本标准借鉴现行国家标准《混凝土结构设计规范》</w:t>
      </w:r>
      <w:r>
        <w:t>GB 50010</w:t>
      </w:r>
      <w:r>
        <w:rPr>
          <w:rFonts w:hint="eastAsia"/>
        </w:rPr>
        <w:t>第</w:t>
      </w:r>
      <w:r>
        <w:t>10.5.1</w:t>
      </w:r>
      <w:r>
        <w:rPr>
          <w:rFonts w:hint="eastAsia"/>
        </w:rPr>
        <w:t>条，将开孔钢板组合剪力墙肢高与肢厚之比控制在</w:t>
      </w:r>
      <w:r>
        <w:t>4</w:t>
      </w:r>
      <w:r>
        <w:rPr>
          <w:rFonts w:hint="eastAsia"/>
        </w:rPr>
        <w:t>~</w:t>
      </w:r>
      <w:r>
        <w:t>8</w:t>
      </w:r>
      <w:r>
        <w:rPr>
          <w:rFonts w:hint="eastAsia"/>
        </w:rPr>
        <w:t>之间，此范围的剪力墙可归入短肢剪力墙，从而更好的适应实际工程需要。</w:t>
      </w:r>
    </w:p>
    <w:p>
      <w:pPr>
        <w:pStyle w:val="4"/>
        <w:ind w:left="0"/>
      </w:pPr>
      <w:r>
        <w:rPr>
          <w:rFonts w:hint="eastAsia"/>
        </w:rPr>
        <w:t>采用开孔</w:t>
      </w:r>
      <w:r>
        <w:t>钢板组合剪力墙结构时</w:t>
      </w:r>
      <w:r>
        <w:rPr>
          <w:rFonts w:hint="eastAsia"/>
        </w:rPr>
        <w:t>，</w:t>
      </w:r>
      <w:r>
        <w:t>框架梁和连梁可采用</w:t>
      </w:r>
      <w:r>
        <w:rPr>
          <w:rFonts w:hint="eastAsia"/>
        </w:rPr>
        <w:t>H型钢梁、H型钢</w:t>
      </w:r>
      <w:r>
        <w:t>-混凝土组合梁。</w:t>
      </w:r>
    </w:p>
    <w:p>
      <w:pPr>
        <w:pStyle w:val="4"/>
        <w:ind w:left="0"/>
      </w:pPr>
      <w:r>
        <w:rPr>
          <w:rFonts w:hint="eastAsia"/>
        </w:rPr>
        <w:t>开孔</w:t>
      </w:r>
      <w:r>
        <w:t>钢板组合剪力墙的墙体厚度与墙体钢板厚度的比值宜符</w:t>
      </w:r>
      <w:r>
        <w:rPr>
          <w:rFonts w:hint="eastAsia"/>
        </w:rPr>
        <w:t>合下式规定：</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tcPr>
          <w:p>
            <w:pPr>
              <w:spacing w:line="440" w:lineRule="exact"/>
              <w:ind w:firstLine="360"/>
            </w:pPr>
          </w:p>
        </w:tc>
        <w:tc>
          <w:tcPr>
            <w:tcW w:w="2841" w:type="dxa"/>
            <w:tcBorders>
              <w:tl2br w:val="nil"/>
              <w:tr2bl w:val="nil"/>
            </w:tcBorders>
          </w:tcPr>
          <w:p>
            <w:pPr>
              <w:spacing w:line="440" w:lineRule="exact"/>
              <w:jc w:val="center"/>
            </w:pPr>
            <w:r>
              <w:rPr>
                <w:position w:val="-10"/>
                <w:sz w:val="21"/>
                <w:szCs w:val="21"/>
              </w:rPr>
              <w:object>
                <v:shape id="_x0000_i1043" o:spt="75" type="#_x0000_t75" style="height:15.9pt;width:69.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3" r:id="rId56">
                  <o:LockedField>false</o:LockedField>
                </o:OLEObject>
              </w:object>
            </w:r>
          </w:p>
        </w:tc>
        <w:tc>
          <w:tcPr>
            <w:tcW w:w="2841" w:type="dxa"/>
            <w:tcBorders>
              <w:tl2br w:val="nil"/>
              <w:tr2bl w:val="nil"/>
            </w:tcBorders>
          </w:tcPr>
          <w:p>
            <w:pPr>
              <w:spacing w:line="440" w:lineRule="exact"/>
              <w:ind w:firstLine="0" w:firstLineChars="0"/>
              <w:jc w:val="right"/>
            </w:pPr>
            <w:r>
              <w:rPr>
                <w:rFonts w:hint="eastAsia"/>
              </w:rPr>
              <w:t>（5.6</w:t>
            </w:r>
            <w:r>
              <w:t>.3</w:t>
            </w:r>
            <w:r>
              <w:rPr>
                <w:rFonts w:hint="eastAsia"/>
              </w:rPr>
              <w:t>）</w:t>
            </w:r>
          </w:p>
        </w:tc>
      </w:tr>
    </w:tbl>
    <w:tbl>
      <w:tblPr>
        <w:tblStyle w:val="43"/>
        <w:tblW w:w="8528" w:type="dxa"/>
        <w:tblInd w:w="-5" w:type="dxa"/>
        <w:tblLayout w:type="fixed"/>
        <w:tblCellMar>
          <w:top w:w="0" w:type="dxa"/>
          <w:left w:w="108" w:type="dxa"/>
          <w:bottom w:w="0" w:type="dxa"/>
          <w:right w:w="108" w:type="dxa"/>
        </w:tblCellMar>
      </w:tblPr>
      <w:tblGrid>
        <w:gridCol w:w="851"/>
        <w:gridCol w:w="567"/>
        <w:gridCol w:w="709"/>
        <w:gridCol w:w="6401"/>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567" w:type="dxa"/>
          </w:tcPr>
          <w:p>
            <w:pPr>
              <w:spacing w:line="440" w:lineRule="exact"/>
              <w:ind w:firstLine="0" w:firstLineChars="0"/>
            </w:pPr>
            <w:r>
              <w:rPr>
                <w:i/>
              </w:rPr>
              <w:t>t</w:t>
            </w:r>
            <w:r>
              <w:rPr>
                <w:vertAlign w:val="subscript"/>
              </w:rPr>
              <w:t>wc</w:t>
            </w:r>
          </w:p>
        </w:tc>
        <w:tc>
          <w:tcPr>
            <w:tcW w:w="709" w:type="dxa"/>
          </w:tcPr>
          <w:p>
            <w:pPr>
              <w:spacing w:line="440" w:lineRule="exact"/>
              <w:ind w:firstLine="0" w:firstLineChars="0"/>
              <w:jc w:val="both"/>
            </w:pPr>
            <w:r>
              <w:t>——</w:t>
            </w:r>
          </w:p>
        </w:tc>
        <w:tc>
          <w:tcPr>
            <w:tcW w:w="6401" w:type="dxa"/>
          </w:tcPr>
          <w:p>
            <w:pPr>
              <w:spacing w:line="440" w:lineRule="exact"/>
              <w:ind w:firstLine="0" w:firstLineChars="0"/>
            </w:pPr>
            <w:r>
              <w:rPr>
                <w:rFonts w:hint="eastAsia"/>
              </w:rPr>
              <w:t>开孔</w:t>
            </w:r>
            <w:r>
              <w:t>钢板</w:t>
            </w:r>
            <w:r>
              <w:rPr>
                <w:rFonts w:hint="eastAsia"/>
              </w:rPr>
              <w:t>组合</w:t>
            </w:r>
            <w:r>
              <w:t>剪力墙墙体的厚度</w:t>
            </w:r>
            <w:r>
              <w:rPr>
                <w:rFonts w:hint="eastAsia"/>
              </w:rPr>
              <w:t>（m</w:t>
            </w:r>
            <w:r>
              <w:t>m</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pPr>
            <w:r>
              <w:rPr>
                <w:i/>
              </w:rPr>
              <w:t>t</w:t>
            </w:r>
            <w:r>
              <w:rPr>
                <w:rFonts w:hint="eastAsia"/>
                <w:vertAlign w:val="subscript"/>
              </w:rPr>
              <w:t>sw</w:t>
            </w:r>
          </w:p>
        </w:tc>
        <w:tc>
          <w:tcPr>
            <w:tcW w:w="709" w:type="dxa"/>
          </w:tcPr>
          <w:p>
            <w:pPr>
              <w:spacing w:line="440" w:lineRule="exact"/>
              <w:ind w:firstLine="0" w:firstLineChars="0"/>
              <w:jc w:val="both"/>
            </w:pPr>
            <w:r>
              <w:t>——</w:t>
            </w:r>
          </w:p>
        </w:tc>
        <w:tc>
          <w:tcPr>
            <w:tcW w:w="6401" w:type="dxa"/>
          </w:tcPr>
          <w:p>
            <w:pPr>
              <w:spacing w:line="440" w:lineRule="exact"/>
              <w:ind w:firstLine="0" w:firstLineChars="0"/>
            </w:pPr>
            <w:r>
              <w:rPr>
                <w:rFonts w:hint="eastAsia"/>
              </w:rPr>
              <w:t>开孔</w:t>
            </w:r>
            <w:r>
              <w:t>钢板</w:t>
            </w:r>
            <w:r>
              <w:rPr>
                <w:rFonts w:hint="eastAsia"/>
              </w:rPr>
              <w:t>组合</w:t>
            </w:r>
            <w:r>
              <w:t>剪力墙</w:t>
            </w:r>
            <w:r>
              <w:rPr>
                <w:rFonts w:hint="eastAsia"/>
              </w:rPr>
              <w:t>单片钢板的</w:t>
            </w:r>
            <w:r>
              <w:t>厚度</w:t>
            </w:r>
            <w:r>
              <w:rPr>
                <w:rFonts w:hint="eastAsia"/>
              </w:rPr>
              <w:t>（m</w:t>
            </w:r>
            <w:r>
              <w:t>m</w:t>
            </w:r>
            <w:r>
              <w:rPr>
                <w:rFonts w:hint="eastAsia"/>
              </w:rPr>
              <w:t>）。</w:t>
            </w:r>
          </w:p>
        </w:tc>
      </w:tr>
    </w:tbl>
    <w:p>
      <w:pPr>
        <w:pStyle w:val="74"/>
        <w:ind w:firstLine="400"/>
      </w:pPr>
      <w:r>
        <w:rPr>
          <w:rFonts w:hint="eastAsia"/>
        </w:rPr>
        <w:t>【条文说明】对应的墙体含钢率宜为</w:t>
      </w:r>
      <w:r>
        <w:t>4</w:t>
      </w:r>
      <w:r>
        <w:rPr>
          <w:rFonts w:hint="eastAsia"/>
        </w:rPr>
        <w:t>%~12%。</w:t>
      </w:r>
    </w:p>
    <w:p>
      <w:pPr>
        <w:pStyle w:val="4"/>
        <w:ind w:left="0"/>
      </w:pPr>
      <w:r>
        <w:rPr>
          <w:rFonts w:hint="eastAsia"/>
        </w:rPr>
        <w:t>开孔钢板组合剪力墙钢板的厚度不应小于</w:t>
      </w:r>
      <w:r>
        <w:t>4mm</w:t>
      </w:r>
      <w:r>
        <w:rPr>
          <w:rFonts w:hint="eastAsia"/>
        </w:rPr>
        <w:t>，不宜小于</w:t>
      </w:r>
      <w:r>
        <w:t>5</w:t>
      </w:r>
      <w:r>
        <w:rPr>
          <w:rFonts w:hint="eastAsia"/>
        </w:rPr>
        <w:t>mm。</w:t>
      </w:r>
    </w:p>
    <w:p>
      <w:pPr>
        <w:pStyle w:val="74"/>
        <w:ind w:firstLine="400"/>
      </w:pPr>
      <w:r>
        <w:rPr>
          <w:rFonts w:hint="eastAsia"/>
        </w:rPr>
        <w:t>【条文说明】限制最小厚度是为了保证施工过程中钢板的稳定性能及标准连接件的可焊性。此处不规定最大厚度，最大厚度可参考本标准第</w:t>
      </w:r>
      <w:r>
        <w:t>5.6.3</w:t>
      </w:r>
      <w:r>
        <w:rPr>
          <w:rFonts w:hint="eastAsia"/>
        </w:rPr>
        <w:t>条。</w:t>
      </w:r>
    </w:p>
    <w:p>
      <w:pPr>
        <w:pStyle w:val="4"/>
        <w:ind w:left="0"/>
      </w:pPr>
      <w:r>
        <w:rPr>
          <w:rFonts w:hint="eastAsia"/>
        </w:rPr>
        <w:t>开孔钢板组合剪力墙的标准连接件的间距与外包钢板厚度的比值应符合下式规定：</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l2br w:val="nil"/>
              <w:tr2bl w:val="nil"/>
            </w:tcBorders>
          </w:tcPr>
          <w:p>
            <w:pPr>
              <w:spacing w:line="440" w:lineRule="exact"/>
              <w:ind w:firstLine="360"/>
            </w:pPr>
          </w:p>
        </w:tc>
        <w:tc>
          <w:tcPr>
            <w:tcW w:w="2841" w:type="dxa"/>
            <w:tcBorders>
              <w:tl2br w:val="nil"/>
              <w:tr2bl w:val="nil"/>
            </w:tcBorders>
          </w:tcPr>
          <w:p>
            <w:pPr>
              <w:spacing w:line="440" w:lineRule="exact"/>
              <w:jc w:val="center"/>
            </w:pPr>
            <w:r>
              <w:rPr>
                <w:position w:val="-10"/>
                <w:sz w:val="21"/>
                <w:szCs w:val="21"/>
              </w:rPr>
              <w:object>
                <v:shape id="_x0000_i1044" o:spt="75" type="#_x0000_t75" style="height:15.9pt;width:60.3pt;" o:ole="t" filled="f" o:preferrelative="t" stroked="f" coordsize="21600,21600">
                  <v:path/>
                  <v:fill on="f" focussize="0,0"/>
                  <v:stroke on="f" joinstyle="miter"/>
                  <v:imagedata r:id="rId59" o:title=""/>
                  <o:lock v:ext="edit" aspectratio="t"/>
                  <w10:wrap type="none"/>
                  <w10:anchorlock/>
                </v:shape>
                <o:OLEObject Type="Embed" ProgID="Equation.DSMT4" ShapeID="_x0000_i1044" DrawAspect="Content" ObjectID="_1468075744" r:id="rId58">
                  <o:LockedField>false</o:LockedField>
                </o:OLEObject>
              </w:object>
            </w:r>
          </w:p>
        </w:tc>
        <w:tc>
          <w:tcPr>
            <w:tcW w:w="2841" w:type="dxa"/>
            <w:tcBorders>
              <w:tl2br w:val="nil"/>
              <w:tr2bl w:val="nil"/>
            </w:tcBorders>
          </w:tcPr>
          <w:p>
            <w:pPr>
              <w:spacing w:line="440" w:lineRule="exact"/>
              <w:ind w:firstLine="0" w:firstLineChars="0"/>
              <w:jc w:val="right"/>
            </w:pPr>
            <w:r>
              <w:rPr>
                <w:rFonts w:hint="eastAsia"/>
              </w:rPr>
              <w:t>（5.6</w:t>
            </w:r>
            <w:r>
              <w:t>.5</w:t>
            </w:r>
            <w:r>
              <w:rPr>
                <w:rFonts w:hint="eastAsia"/>
              </w:rPr>
              <w:t>）</w:t>
            </w:r>
          </w:p>
        </w:tc>
      </w:tr>
    </w:tbl>
    <w:tbl>
      <w:tblPr>
        <w:tblStyle w:val="43"/>
        <w:tblW w:w="8557" w:type="dxa"/>
        <w:tblInd w:w="-34" w:type="dxa"/>
        <w:tblLayout w:type="fixed"/>
        <w:tblCellMar>
          <w:top w:w="0" w:type="dxa"/>
          <w:left w:w="108" w:type="dxa"/>
          <w:bottom w:w="0" w:type="dxa"/>
          <w:right w:w="108" w:type="dxa"/>
        </w:tblCellMar>
      </w:tblPr>
      <w:tblGrid>
        <w:gridCol w:w="851"/>
        <w:gridCol w:w="567"/>
        <w:gridCol w:w="709"/>
        <w:gridCol w:w="6430"/>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567" w:type="dxa"/>
          </w:tcPr>
          <w:p>
            <w:pPr>
              <w:spacing w:line="440" w:lineRule="exact"/>
              <w:ind w:firstLine="0" w:firstLineChars="0"/>
            </w:pPr>
            <w:r>
              <w:rPr>
                <w:position w:val="-10"/>
              </w:rPr>
              <w:object>
                <v:shape id="_x0000_i1045" o:spt="75" type="#_x0000_t75" style="height:17.6pt;width:12.55pt;" o:ole="t" filled="f" o:preferrelative="t" stroked="f" coordsize="21600,21600">
                  <v:path/>
                  <v:fill on="f" focussize="0,0"/>
                  <v:stroke on="f" joinstyle="miter"/>
                  <v:imagedata r:id="rId61" o:title=""/>
                  <o:lock v:ext="edit" aspectratio="t"/>
                  <w10:wrap type="none"/>
                  <w10:anchorlock/>
                </v:shape>
                <o:OLEObject Type="Embed" ProgID="Equation.DSMT4" ShapeID="_x0000_i1045" DrawAspect="Content" ObjectID="_1468075745" r:id="rId60">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装配式开孔钢板组合剪力墙连接标准件的净距（mm）；</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pPr>
            <w:r>
              <w:rPr>
                <w:position w:val="-10"/>
              </w:rPr>
              <w:object>
                <v:shape id="_x0000_i1046" o:spt="75" type="#_x0000_t75" style="height:15.9pt;width:12.55pt;" o:ole="t" filled="f" o:preferrelative="t" stroked="f" coordsize="21600,21600">
                  <v:path/>
                  <v:fill on="f" focussize="0,0"/>
                  <v:stroke on="f" joinstyle="miter"/>
                  <v:imagedata r:id="rId63" o:title=""/>
                  <o:lock v:ext="edit" aspectratio="t"/>
                  <w10:wrap type="none"/>
                  <w10:anchorlock/>
                </v:shape>
                <o:OLEObject Type="Embed" ProgID="Equation.DSMT4" ShapeID="_x0000_i1046" DrawAspect="Content" ObjectID="_1468075746" r:id="rId62">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钢号修正系数，取</w:t>
            </w:r>
            <w:r>
              <w:rPr>
                <w:position w:val="-14"/>
              </w:rPr>
              <w:object>
                <v:shape id="_x0000_i1047" o:spt="75" type="#_x0000_t75" style="height:19.25pt;width:41.85pt;" o:ole="t" filled="f" o:preferrelative="t" stroked="f" coordsize="21600,21600">
                  <v:path/>
                  <v:fill on="f" focussize="0,0"/>
                  <v:stroke on="f" joinstyle="miter"/>
                  <v:imagedata r:id="rId65" o:title=""/>
                  <o:lock v:ext="edit" aspectratio="t"/>
                  <w10:wrap type="none"/>
                  <w10:anchorlock/>
                </v:shape>
                <o:OLEObject Type="Embed" ProgID="Equation.DSMT4" ShapeID="_x0000_i1047" DrawAspect="Content" ObjectID="_1468075747" r:id="rId64">
                  <o:LockedField>false</o:LockedField>
                </o:OLEObject>
              </w:object>
            </w:r>
            <w:r>
              <w:rPr>
                <w:rFonts w:hint="eastAsia"/>
              </w:rPr>
              <w:t>。</w:t>
            </w:r>
          </w:p>
        </w:tc>
      </w:tr>
    </w:tbl>
    <w:p>
      <w:pPr>
        <w:pStyle w:val="74"/>
        <w:ind w:firstLine="400"/>
      </w:pPr>
      <w:r>
        <w:rPr>
          <w:rFonts w:hint="eastAsia"/>
        </w:rPr>
        <w:t>【条文说明】由于开孔钢板组合剪力墙的连接标准件（内凹冲压件）尺寸较大，前期试验研究基础表明，本条规定中的</w:t>
      </w:r>
      <w:r>
        <w:rPr>
          <w:position w:val="-10"/>
        </w:rPr>
        <w:object>
          <v:shape id="_x0000_i1048" o:spt="75" type="#_x0000_t75" style="height:17.6pt;width:12.55pt;" o:ole="t" filled="f" o:preferrelative="t" stroked="f" coordsize="21600,21600">
            <v:path/>
            <v:fill on="f" focussize="0,0"/>
            <v:stroke on="f" joinstyle="miter"/>
            <v:imagedata r:id="rId67" o:title=""/>
            <o:lock v:ext="edit" aspectratio="t"/>
            <w10:wrap type="none"/>
            <w10:anchorlock/>
          </v:shape>
          <o:OLEObject Type="Embed" ProgID="Equation.DSMT4" ShapeID="_x0000_i1048" DrawAspect="Content" ObjectID="_1468075748" r:id="rId66">
            <o:LockedField>false</o:LockedField>
          </o:OLEObject>
        </w:object>
      </w:r>
      <w:r>
        <w:rPr>
          <w:rFonts w:hint="eastAsia"/>
        </w:rPr>
        <w:t>在取相邻两开孔间的净距也满足要求。</w:t>
      </w:r>
    </w:p>
    <w:p>
      <w:pPr>
        <w:pStyle w:val="4"/>
        <w:ind w:left="0"/>
      </w:pPr>
      <w:r>
        <w:rPr>
          <w:rFonts w:hint="eastAsia"/>
        </w:rPr>
        <w:t>开孔钢板组合剪力墙的墙体两端宜设置暗柱或翼墙，暗柱宜采用矩形钢管混凝土构件。</w:t>
      </w:r>
    </w:p>
    <w:p>
      <w:pPr>
        <w:pStyle w:val="4"/>
        <w:ind w:left="0"/>
      </w:pPr>
      <w:r>
        <w:rPr>
          <w:rFonts w:hint="eastAsia"/>
        </w:rPr>
        <w:t>结构内力和变形分析时，开孔钢板组合剪力墙的刚度可按下列公式计算：</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spacing w:line="440" w:lineRule="exact"/>
              <w:ind w:firstLine="360"/>
            </w:pPr>
          </w:p>
        </w:tc>
        <w:tc>
          <w:tcPr>
            <w:tcW w:w="2841" w:type="dxa"/>
          </w:tcPr>
          <w:p>
            <w:pPr>
              <w:spacing w:line="440" w:lineRule="exact"/>
              <w:jc w:val="center"/>
            </w:pPr>
            <w:r>
              <w:rPr>
                <w:position w:val="-10"/>
                <w:sz w:val="21"/>
                <w:szCs w:val="21"/>
              </w:rPr>
              <w:object>
                <v:shape id="_x0000_i1049" o:spt="75" type="#_x0000_t75" style="height:15.05pt;width:67.8pt;" o:ole="t" filled="f" o:preferrelative="t" stroked="f" coordsize="21600,21600">
                  <v:path/>
                  <v:fill on="f" focussize="0,0"/>
                  <v:stroke on="f" joinstyle="miter"/>
                  <v:imagedata r:id="rId69" o:title=""/>
                  <o:lock v:ext="edit" aspectratio="t"/>
                  <w10:wrap type="none"/>
                  <w10:anchorlock/>
                </v:shape>
                <o:OLEObject Type="Embed" ProgID="Equation.DSMT4" ShapeID="_x0000_i1049" DrawAspect="Content" ObjectID="_1468075749" r:id="rId68">
                  <o:LockedField>false</o:LockedField>
                </o:OLEObject>
              </w:object>
            </w:r>
          </w:p>
        </w:tc>
        <w:tc>
          <w:tcPr>
            <w:tcW w:w="2841" w:type="dxa"/>
          </w:tcPr>
          <w:p>
            <w:pPr>
              <w:spacing w:line="440" w:lineRule="exact"/>
              <w:ind w:firstLine="0" w:firstLineChars="0"/>
              <w:jc w:val="right"/>
            </w:pPr>
            <w:r>
              <w:rPr>
                <w:rFonts w:hint="eastAsia"/>
              </w:rPr>
              <w:t>（5.6</w:t>
            </w:r>
            <w:r>
              <w:t>.7-1</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spacing w:line="440" w:lineRule="exact"/>
              <w:ind w:firstLine="360"/>
            </w:pPr>
          </w:p>
        </w:tc>
        <w:tc>
          <w:tcPr>
            <w:tcW w:w="2841" w:type="dxa"/>
          </w:tcPr>
          <w:p>
            <w:pPr>
              <w:spacing w:line="440" w:lineRule="exact"/>
              <w:jc w:val="center"/>
              <w:rPr>
                <w:position w:val="-10"/>
              </w:rPr>
            </w:pPr>
            <w:r>
              <w:rPr>
                <w:position w:val="-10"/>
                <w:sz w:val="21"/>
                <w:szCs w:val="21"/>
              </w:rPr>
              <w:object>
                <v:shape id="_x0000_i1050" o:spt="75" type="#_x0000_t75" style="height:15.05pt;width:72.85pt;" o:ole="t" filled="f" o:preferrelative="t" stroked="f" coordsize="21600,21600">
                  <v:path/>
                  <v:fill on="f" focussize="0,0"/>
                  <v:stroke on="f" joinstyle="miter"/>
                  <v:imagedata r:id="rId71" o:title=""/>
                  <o:lock v:ext="edit" aspectratio="t"/>
                  <w10:wrap type="none"/>
                  <w10:anchorlock/>
                </v:shape>
                <o:OLEObject Type="Embed" ProgID="Equation.DSMT4" ShapeID="_x0000_i1050" DrawAspect="Content" ObjectID="_1468075750" r:id="rId70">
                  <o:LockedField>false</o:LockedField>
                </o:OLEObject>
              </w:object>
            </w:r>
          </w:p>
        </w:tc>
        <w:tc>
          <w:tcPr>
            <w:tcW w:w="2841" w:type="dxa"/>
          </w:tcPr>
          <w:p>
            <w:pPr>
              <w:spacing w:line="440" w:lineRule="exact"/>
              <w:ind w:firstLine="0" w:firstLineChars="0"/>
              <w:jc w:val="right"/>
            </w:pPr>
            <w:r>
              <w:rPr>
                <w:rFonts w:hint="eastAsia"/>
              </w:rPr>
              <w:t>（5.6</w:t>
            </w:r>
            <w:r>
              <w:t>.7-2</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spacing w:line="440" w:lineRule="exact"/>
              <w:ind w:firstLine="360"/>
            </w:pPr>
          </w:p>
        </w:tc>
        <w:tc>
          <w:tcPr>
            <w:tcW w:w="2841" w:type="dxa"/>
          </w:tcPr>
          <w:p>
            <w:pPr>
              <w:spacing w:line="440" w:lineRule="exact"/>
              <w:jc w:val="center"/>
              <w:rPr>
                <w:position w:val="-10"/>
              </w:rPr>
            </w:pPr>
            <w:r>
              <w:rPr>
                <w:position w:val="-10"/>
                <w:sz w:val="21"/>
                <w:szCs w:val="21"/>
              </w:rPr>
              <w:object>
                <v:shape id="_x0000_i1051" o:spt="75" type="#_x0000_t75" style="height:15.05pt;width:73.65pt;" o:ole="t" filled="f" o:preferrelative="t" stroked="f" coordsize="21600,21600">
                  <v:path/>
                  <v:fill on="f" focussize="0,0"/>
                  <v:stroke on="f" joinstyle="miter"/>
                  <v:imagedata r:id="rId73" o:title=""/>
                  <o:lock v:ext="edit" aspectratio="t"/>
                  <w10:wrap type="none"/>
                  <w10:anchorlock/>
                </v:shape>
                <o:OLEObject Type="Embed" ProgID="Equation.DSMT4" ShapeID="_x0000_i1051" DrawAspect="Content" ObjectID="_1468075751" r:id="rId72">
                  <o:LockedField>false</o:LockedField>
                </o:OLEObject>
              </w:object>
            </w:r>
          </w:p>
        </w:tc>
        <w:tc>
          <w:tcPr>
            <w:tcW w:w="2841" w:type="dxa"/>
          </w:tcPr>
          <w:p>
            <w:pPr>
              <w:spacing w:line="440" w:lineRule="exact"/>
              <w:ind w:firstLine="0" w:firstLineChars="0"/>
              <w:jc w:val="right"/>
            </w:pPr>
            <w:r>
              <w:rPr>
                <w:rFonts w:hint="eastAsia"/>
              </w:rPr>
              <w:t>（5.6</w:t>
            </w:r>
            <w:r>
              <w:t>.7-3</w:t>
            </w:r>
            <w:r>
              <w:rPr>
                <w:rFonts w:hint="eastAsia"/>
              </w:rPr>
              <w:t>）</w:t>
            </w:r>
          </w:p>
        </w:tc>
      </w:tr>
    </w:tbl>
    <w:tbl>
      <w:tblPr>
        <w:tblStyle w:val="43"/>
        <w:tblW w:w="8557" w:type="dxa"/>
        <w:tblInd w:w="-34" w:type="dxa"/>
        <w:tblLayout w:type="fixed"/>
        <w:tblCellMar>
          <w:top w:w="0" w:type="dxa"/>
          <w:left w:w="108" w:type="dxa"/>
          <w:bottom w:w="0" w:type="dxa"/>
          <w:right w:w="108" w:type="dxa"/>
        </w:tblCellMar>
      </w:tblPr>
      <w:tblGrid>
        <w:gridCol w:w="851"/>
        <w:gridCol w:w="709"/>
        <w:gridCol w:w="709"/>
        <w:gridCol w:w="6288"/>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709" w:type="dxa"/>
          </w:tcPr>
          <w:p>
            <w:pPr>
              <w:spacing w:line="440" w:lineRule="exact"/>
              <w:ind w:firstLine="0" w:firstLineChars="0"/>
            </w:pPr>
            <w:r>
              <w:rPr>
                <w:position w:val="-4"/>
              </w:rPr>
              <w:object>
                <v:shape id="_x0000_i1052" o:spt="75" type="#_x0000_t75" style="height:11.7pt;width:15.9pt;" o:ole="t" filled="f" o:preferrelative="t" stroked="f" coordsize="21600,21600">
                  <v:path/>
                  <v:fill on="f" focussize="0,0"/>
                  <v:stroke on="f" joinstyle="miter"/>
                  <v:imagedata r:id="rId75" o:title=""/>
                  <o:lock v:ext="edit" aspectratio="t"/>
                  <w10:wrap type="none"/>
                  <w10:anchorlock/>
                </v:shape>
                <o:OLEObject Type="Embed" ProgID="Equation.DSMT4" ShapeID="_x0000_i1052" DrawAspect="Content" ObjectID="_1468075752" r:id="rId74">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开孔钢板组合剪力墙的截面抗弯刚度（N·mm</w:t>
            </w:r>
            <w:r>
              <w:rPr>
                <w:rFonts w:hint="eastAsia"/>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4"/>
              </w:rPr>
              <w:object>
                <v:shape id="_x0000_i1053" o:spt="75" type="#_x0000_t75" style="height:11.7pt;width:17.6pt;" o:ole="t" filled="f" o:preferrelative="t" stroked="f" coordsize="21600,21600">
                  <v:path/>
                  <v:fill on="f" focussize="0,0"/>
                  <v:stroke on="f" joinstyle="miter"/>
                  <v:imagedata r:id="rId77" o:title=""/>
                  <o:lock v:ext="edit" aspectratio="t"/>
                  <w10:wrap type="none"/>
                  <w10:anchorlock/>
                </v:shape>
                <o:OLEObject Type="Embed" ProgID="Equation.DSMT4" ShapeID="_x0000_i1053" DrawAspect="Content" ObjectID="_1468075753" r:id="rId76">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开孔钢板组合剪力墙的截面抗压刚度（N）；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6"/>
              </w:rPr>
              <w:object>
                <v:shape id="_x0000_i1054" o:spt="75" type="#_x0000_t75" style="height:13.4pt;width:17.6pt;" o:ole="t" filled="f" o:preferrelative="t" stroked="f" coordsize="21600,21600">
                  <v:path/>
                  <v:fill on="f" focussize="0,0"/>
                  <v:stroke on="f" joinstyle="miter"/>
                  <v:imagedata r:id="rId79" o:title=""/>
                  <o:lock v:ext="edit" aspectratio="t"/>
                  <w10:wrap type="none"/>
                  <w10:anchorlock/>
                </v:shape>
                <o:OLEObject Type="Embed" ProgID="Equation.DSMT4" ShapeID="_x0000_i1054" DrawAspect="Content" ObjectID="_1468075754" r:id="rId78">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开孔钢板组合剪力墙的截面抗剪刚度（N）；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55" o:spt="75" type="#_x0000_t75" style="height:15.9pt;width:22.6pt;" o:ole="t" filled="f" o:preferrelative="t" stroked="f" coordsize="21600,21600">
                  <v:path/>
                  <v:fill on="f" focussize="0,0"/>
                  <v:stroke on="f" joinstyle="miter"/>
                  <v:imagedata r:id="rId81" o:title=""/>
                  <o:lock v:ext="edit" aspectratio="t"/>
                  <w10:wrap type="none"/>
                  <w10:anchorlock/>
                </v:shape>
                <o:OLEObject Type="Embed" ProgID="Equation.DSMT4" ShapeID="_x0000_i1055" DrawAspect="Content" ObjectID="_1468075755" r:id="rId80">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开孔钢板组合剪力墙钢板部分的截面抗弯刚度（N·mm</w:t>
            </w:r>
            <w:r>
              <w:rPr>
                <w:rFonts w:hint="eastAsia"/>
                <w:szCs w:val="20"/>
                <w:vertAlign w:val="superscript"/>
              </w:rPr>
              <w:t>2</w:t>
            </w:r>
            <w:r>
              <w:rPr>
                <w:rFonts w:hint="eastAsia"/>
                <w:szCs w:val="20"/>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56" o:spt="75" type="#_x0000_t75" style="height:15.9pt;width:22.6pt;" o:ole="t" filled="f" o:preferrelative="t" stroked="f" coordsize="21600,21600">
                  <v:path/>
                  <v:fill on="f" focussize="0,0"/>
                  <v:stroke on="f" joinstyle="miter"/>
                  <v:imagedata r:id="rId83" o:title=""/>
                  <o:lock v:ext="edit" aspectratio="t"/>
                  <w10:wrap type="none"/>
                  <w10:anchorlock/>
                </v:shape>
                <o:OLEObject Type="Embed" ProgID="Equation.DSMT4" ShapeID="_x0000_i1056" DrawAspect="Content" ObjectID="_1468075756" r:id="rId82">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开孔钢板组合剪力墙钢板部分的截面抗压刚度（N）；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57" o:spt="75" type="#_x0000_t75" style="height:15.9pt;width:21.75pt;" o:ole="t" filled="f" o:preferrelative="t" stroked="f" coordsize="21600,21600">
                  <v:path/>
                  <v:fill on="f" focussize="0,0"/>
                  <v:stroke on="f" joinstyle="miter"/>
                  <v:imagedata r:id="rId85" o:title=""/>
                  <o:lock v:ext="edit" aspectratio="t"/>
                  <w10:wrap type="none"/>
                  <w10:anchorlock/>
                </v:shape>
                <o:OLEObject Type="Embed" ProgID="Equation.DSMT4" ShapeID="_x0000_i1057" DrawAspect="Content" ObjectID="_1468075757" r:id="rId84">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开孔钢板组合剪力墙钢板部分的截面抗剪刚度（N）；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58" o:spt="75" type="#_x0000_t75" style="height:15.9pt;width:21.75pt;" o:ole="t" filled="f" o:preferrelative="t" stroked="f" coordsize="21600,21600">
                  <v:path/>
                  <v:fill on="f" focussize="0,0"/>
                  <v:stroke on="f" joinstyle="miter"/>
                  <v:imagedata r:id="rId87" o:title=""/>
                  <o:lock v:ext="edit" aspectratio="t"/>
                  <w10:wrap type="none"/>
                  <w10:anchorlock/>
                </v:shape>
                <o:OLEObject Type="Embed" ProgID="Equation.DSMT4" ShapeID="_x0000_i1058" DrawAspect="Content" ObjectID="_1468075758" r:id="rId86">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szCs w:val="20"/>
              </w:rPr>
              <w:t>开孔钢板组合剪力墙混凝土部分的截面抗弯刚度（N·mm</w:t>
            </w:r>
            <w:r>
              <w:rPr>
                <w:rFonts w:hint="eastAsia"/>
                <w:szCs w:val="20"/>
                <w:vertAlign w:val="superscript"/>
              </w:rPr>
              <w:t>2</w:t>
            </w:r>
            <w:r>
              <w:rPr>
                <w:rFonts w:hint="eastAsia"/>
                <w:szCs w:val="20"/>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59" o:spt="75" type="#_x0000_t75" style="height:15.9pt;width:21.75pt;" o:ole="t" filled="f" o:preferrelative="t" stroked="f" coordsize="21600,21600">
                  <v:path/>
                  <v:fill on="f" focussize="0,0"/>
                  <v:stroke on="f" joinstyle="miter"/>
                  <v:imagedata r:id="rId89" o:title=""/>
                  <o:lock v:ext="edit" aspectratio="t"/>
                  <w10:wrap type="none"/>
                  <w10:anchorlock/>
                </v:shape>
                <o:OLEObject Type="Embed" ProgID="Equation.DSMT4" ShapeID="_x0000_i1059" DrawAspect="Content" ObjectID="_1468075759" r:id="rId88">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rPr>
                <w:szCs w:val="20"/>
              </w:rPr>
            </w:pPr>
            <w:r>
              <w:rPr>
                <w:rFonts w:hint="eastAsia"/>
                <w:szCs w:val="20"/>
              </w:rPr>
              <w:t>开孔钢板组合剪力墙混凝土部分的截面抗压刚度（N）；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pPr>
            <w:r>
              <w:rPr>
                <w:position w:val="-10"/>
              </w:rPr>
              <w:object>
                <v:shape id="_x0000_i1060" o:spt="75" type="#_x0000_t75" style="height:15.9pt;width:24.3pt;" o:ole="t" filled="f" o:preferrelative="t" stroked="f" coordsize="21600,21600">
                  <v:path/>
                  <v:fill on="f" focussize="0,0"/>
                  <v:stroke on="f" joinstyle="miter"/>
                  <v:imagedata r:id="rId91" o:title=""/>
                  <o:lock v:ext="edit" aspectratio="t"/>
                  <w10:wrap type="none"/>
                  <w10:anchorlock/>
                </v:shape>
                <o:OLEObject Type="Embed" ProgID="Equation.DSMT4" ShapeID="_x0000_i1060" DrawAspect="Content" ObjectID="_1468075760" r:id="rId90">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rPr>
                <w:szCs w:val="20"/>
              </w:rPr>
            </w:pPr>
            <w:r>
              <w:rPr>
                <w:rFonts w:hint="eastAsia"/>
                <w:szCs w:val="20"/>
              </w:rPr>
              <w:t>开孔钢板组合剪力墙混凝土部分的截面抗剪刚度（N）。</w:t>
            </w:r>
          </w:p>
        </w:tc>
      </w:tr>
    </w:tbl>
    <w:p>
      <w:pPr>
        <w:pStyle w:val="74"/>
        <w:ind w:firstLine="400"/>
      </w:pPr>
      <w:r>
        <w:rPr>
          <w:rFonts w:hint="eastAsia"/>
        </w:rPr>
        <w:t>【条文说明】该条均采用弹性刚度，引用现行国家标准《钢管混凝土结构技术规范》GB 50936第4.2.5条。国外规范多采用考虑混凝土开裂影响的非线性有效刚度，如增加</w:t>
      </w:r>
      <w:r>
        <w:t>0.85</w:t>
      </w:r>
      <w:r>
        <w:rPr>
          <w:rFonts w:hint="eastAsia"/>
        </w:rPr>
        <w:t>的折减系数。</w:t>
      </w:r>
    </w:p>
    <w:p>
      <w:pPr>
        <w:pStyle w:val="4"/>
        <w:ind w:left="0"/>
      </w:pPr>
      <w:r>
        <w:rPr>
          <w:rFonts w:hint="eastAsia"/>
        </w:rPr>
        <w:t>开孔钢板组合剪力墙的构件在浇筑混凝土前，其轴心应力不宜大于钢管抗压强度设计值的60%，并应满足整体稳定性要求。</w:t>
      </w:r>
    </w:p>
    <w:p>
      <w:pPr>
        <w:pStyle w:val="74"/>
        <w:ind w:firstLine="400"/>
      </w:pPr>
      <w:r>
        <w:rPr>
          <w:rFonts w:hint="eastAsia"/>
        </w:rPr>
        <w:t>【条文说明】该条引用现行国家标准《钢管混凝土结构技术规范》GB 50936第4.1.8条。</w:t>
      </w:r>
    </w:p>
    <w:p>
      <w:pPr>
        <w:pStyle w:val="4"/>
        <w:ind w:left="0"/>
      </w:pPr>
      <w:r>
        <w:rPr>
          <w:rFonts w:hint="eastAsia"/>
        </w:rPr>
        <w:t>开孔钢板组合剪力墙与平面内连梁和楼屋面梁的连接应采用刚性连接，楼屋面梁与装配式开孔钢板组合剪力墙平面外连接时宜采用铰接连接且宜在墙内设置暗柱。</w:t>
      </w:r>
    </w:p>
    <w:p>
      <w:pPr>
        <w:pStyle w:val="74"/>
        <w:ind w:firstLine="400"/>
      </w:pPr>
      <w:r>
        <w:rPr>
          <w:rFonts w:hint="eastAsia"/>
        </w:rPr>
        <w:t>【条文说明】该条引用现行国家标准《钢管混凝土结构技术规范》GB 50936第4.1.4条，由于开孔钢板组合剪力墙厚度较薄，面外刚度较弱，较难抵抗面外弯矩，建议面外楼屋面梁采用铰接，同时在墙体内设置加强的暗柱，利于集中力的直接传递。</w:t>
      </w:r>
    </w:p>
    <w:p>
      <w:pPr>
        <w:pStyle w:val="3"/>
        <w:spacing w:before="156" w:after="156"/>
        <w:ind w:firstLine="482"/>
      </w:pPr>
      <w:bookmarkStart w:id="49" w:name="_Toc295"/>
      <w:bookmarkStart w:id="50" w:name="_Toc36207160"/>
      <w:r>
        <w:rPr>
          <w:rFonts w:hint="eastAsia"/>
        </w:rPr>
        <w:t xml:space="preserve"> 构件</w:t>
      </w:r>
      <w:r>
        <w:t>承载力计算</w:t>
      </w:r>
      <w:bookmarkEnd w:id="49"/>
      <w:bookmarkEnd w:id="50"/>
    </w:p>
    <w:p>
      <w:pPr>
        <w:pStyle w:val="4"/>
        <w:ind w:left="0"/>
      </w:pPr>
      <w:r>
        <w:rPr>
          <w:rFonts w:hint="eastAsia"/>
        </w:rPr>
        <w:t>抗压强度承载力设计值按下列公式计算：</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25"/>
        <w:gridCol w:w="5262"/>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440" w:lineRule="exact"/>
              <w:ind w:firstLine="360"/>
            </w:pPr>
          </w:p>
        </w:tc>
        <w:tc>
          <w:tcPr>
            <w:tcW w:w="5262" w:type="dxa"/>
            <w:tcBorders>
              <w:tl2br w:val="nil"/>
              <w:tr2bl w:val="nil"/>
            </w:tcBorders>
          </w:tcPr>
          <w:p>
            <w:pPr>
              <w:spacing w:line="440" w:lineRule="exact"/>
              <w:ind w:firstLine="1260" w:firstLineChars="600"/>
            </w:pPr>
            <w:r>
              <w:rPr>
                <w:position w:val="-10"/>
                <w:sz w:val="21"/>
                <w:szCs w:val="21"/>
              </w:rPr>
              <w:object>
                <v:shape id="_x0000_i1061" o:spt="75" type="#_x0000_t75" style="height:15.05pt;width:42.7pt;" o:ole="t" filled="f" o:preferrelative="t" stroked="f" coordsize="21600,21600">
                  <v:path/>
                  <v:fill on="f" focussize="0,0"/>
                  <v:stroke on="f" joinstyle="miter"/>
                  <v:imagedata r:id="rId93" o:title=""/>
                  <o:lock v:ext="edit" aspectratio="f"/>
                  <w10:wrap type="none"/>
                  <w10:anchorlock/>
                </v:shape>
                <o:OLEObject Type="Embed" ProgID="Equation.DSMT4" ShapeID="_x0000_i1061" DrawAspect="Content" ObjectID="_1468075761" r:id="rId92">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（5.7</w:t>
            </w:r>
            <w:r>
              <w:t>.1</w:t>
            </w:r>
            <w:r>
              <w:rPr>
                <w:rFonts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440" w:lineRule="exact"/>
              <w:ind w:firstLine="360"/>
            </w:pPr>
          </w:p>
        </w:tc>
        <w:tc>
          <w:tcPr>
            <w:tcW w:w="5262" w:type="dxa"/>
            <w:tcBorders>
              <w:tl2br w:val="nil"/>
              <w:tr2bl w:val="nil"/>
            </w:tcBorders>
          </w:tcPr>
          <w:p>
            <w:pPr>
              <w:spacing w:line="440" w:lineRule="exact"/>
              <w:ind w:firstLine="1260" w:firstLineChars="600"/>
              <w:rPr>
                <w:position w:val="-10"/>
              </w:rPr>
            </w:pPr>
            <w:r>
              <w:rPr>
                <w:position w:val="-10"/>
                <w:sz w:val="21"/>
                <w:szCs w:val="21"/>
              </w:rPr>
              <w:object>
                <v:shape id="_x0000_i1062" o:spt="75" type="#_x0000_t75" style="height:15.05pt;width:68.65pt;" o:ole="t" filled="f" o:preferrelative="t" stroked="f" coordsize="21600,21600">
                  <v:path/>
                  <v:fill on="f" focussize="0,0"/>
                  <v:stroke on="f" joinstyle="miter"/>
                  <v:imagedata r:id="rId95" o:title=""/>
                  <o:lock v:ext="edit" aspectratio="f"/>
                  <w10:wrap type="none"/>
                  <w10:anchorlock/>
                </v:shape>
                <o:OLEObject Type="Embed" ProgID="Equation.DSMT4" ShapeID="_x0000_i1062" DrawAspect="Content" ObjectID="_1468075762" r:id="rId94">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（5.7</w:t>
            </w:r>
            <w:r>
              <w:t>.1</w:t>
            </w:r>
            <w:r>
              <w:rPr>
                <w:rFonts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440" w:lineRule="exact"/>
              <w:ind w:firstLine="360"/>
            </w:pPr>
          </w:p>
        </w:tc>
        <w:tc>
          <w:tcPr>
            <w:tcW w:w="5262" w:type="dxa"/>
            <w:tcBorders>
              <w:tl2br w:val="nil"/>
              <w:tr2bl w:val="nil"/>
            </w:tcBorders>
          </w:tcPr>
          <w:p>
            <w:pPr>
              <w:spacing w:line="440" w:lineRule="exact"/>
              <w:ind w:firstLine="1260" w:firstLineChars="600"/>
              <w:rPr>
                <w:position w:val="-10"/>
              </w:rPr>
            </w:pPr>
            <w:r>
              <w:rPr>
                <w:position w:val="-10"/>
                <w:sz w:val="21"/>
                <w:szCs w:val="21"/>
              </w:rPr>
              <w:object>
                <v:shape id="_x0000_i1063" o:spt="75" type="#_x0000_t75" style="height:15.9pt;width:78.7pt;" o:ole="t" filled="f" o:preferrelative="t" stroked="f" coordsize="21600,21600">
                  <v:path/>
                  <v:fill on="f" focussize="0,0"/>
                  <v:stroke on="f" joinstyle="miter"/>
                  <v:imagedata r:id="rId97" o:title=""/>
                  <o:lock v:ext="edit" aspectratio="f"/>
                  <w10:wrap type="none"/>
                  <w10:anchorlock/>
                </v:shape>
                <o:OLEObject Type="Embed" ProgID="Equation.DSMT4" ShapeID="_x0000_i1063" DrawAspect="Content" ObjectID="_1468075763" r:id="rId96">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（5.7</w:t>
            </w:r>
            <w:r>
              <w:t>.1</w:t>
            </w:r>
            <w:r>
              <w:rPr>
                <w:rFonts w:hint="eastAsi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240" w:lineRule="auto"/>
              <w:ind w:firstLine="360"/>
            </w:pPr>
          </w:p>
        </w:tc>
        <w:tc>
          <w:tcPr>
            <w:tcW w:w="5262" w:type="dxa"/>
            <w:tcBorders>
              <w:tl2br w:val="nil"/>
              <w:tr2bl w:val="nil"/>
            </w:tcBorders>
          </w:tcPr>
          <w:p>
            <w:pPr>
              <w:spacing w:line="240" w:lineRule="auto"/>
              <w:ind w:firstLine="1260" w:firstLineChars="600"/>
              <w:rPr>
                <w:position w:val="-10"/>
              </w:rPr>
            </w:pPr>
            <w:r>
              <w:rPr>
                <w:position w:val="-26"/>
                <w:sz w:val="21"/>
                <w:szCs w:val="21"/>
              </w:rPr>
              <w:object>
                <v:shape id="_x0000_i1064" o:spt="75" type="#_x0000_t75" style="height:29.3pt;width:38.5pt;" o:ole="t" filled="f" o:preferrelative="t" stroked="f" coordsize="21600,21600">
                  <v:path/>
                  <v:fill on="f" focussize="0,0"/>
                  <v:stroke on="f" joinstyle="miter"/>
                  <v:imagedata r:id="rId99" o:title=""/>
                  <o:lock v:ext="edit" aspectratio="t"/>
                  <w10:wrap type="none"/>
                  <w10:anchorlock/>
                </v:shape>
                <o:OLEObject Type="Embed" ProgID="Equation.DSMT4" ShapeID="_x0000_i1064" DrawAspect="Content" ObjectID="_1468075764" r:id="rId98">
                  <o:LockedField>false</o:LockedField>
                </o:OLEObject>
              </w:object>
            </w:r>
          </w:p>
        </w:tc>
        <w:tc>
          <w:tcPr>
            <w:tcW w:w="1235" w:type="dxa"/>
            <w:tcBorders>
              <w:tl2br w:val="nil"/>
              <w:tr2bl w:val="nil"/>
            </w:tcBorders>
          </w:tcPr>
          <w:p>
            <w:pPr>
              <w:spacing w:line="240" w:lineRule="auto"/>
              <w:ind w:firstLine="0" w:firstLineChars="0"/>
              <w:jc w:val="right"/>
            </w:pPr>
            <w:r>
              <w:rPr>
                <w:rFonts w:hint="eastAsia"/>
              </w:rPr>
              <w:t>（5.7</w:t>
            </w:r>
            <w:r>
              <w:t>.1</w:t>
            </w:r>
            <w:r>
              <w:rPr>
                <w:rFonts w:hint="eastAsi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240" w:lineRule="auto"/>
              <w:ind w:firstLine="360"/>
            </w:pPr>
          </w:p>
        </w:tc>
        <w:tc>
          <w:tcPr>
            <w:tcW w:w="5262" w:type="dxa"/>
            <w:tcBorders>
              <w:tl2br w:val="nil"/>
              <w:tr2bl w:val="nil"/>
            </w:tcBorders>
          </w:tcPr>
          <w:p>
            <w:pPr>
              <w:spacing w:line="240" w:lineRule="auto"/>
              <w:ind w:firstLine="1260" w:firstLineChars="600"/>
              <w:rPr>
                <w:position w:val="-10"/>
              </w:rPr>
            </w:pPr>
            <w:r>
              <w:rPr>
                <w:position w:val="-26"/>
                <w:sz w:val="21"/>
                <w:szCs w:val="21"/>
              </w:rPr>
              <w:object>
                <v:shape id="_x0000_i1065" o:spt="75" type="#_x0000_t75" style="height:29.3pt;width:37.65pt;" o:ole="t" filled="f" o:preferrelative="t" stroked="f" coordsize="21600,21600">
                  <v:path/>
                  <v:fill on="f" focussize="0,0"/>
                  <v:stroke on="f" joinstyle="miter"/>
                  <v:imagedata r:id="rId101" o:title=""/>
                  <o:lock v:ext="edit" aspectratio="t"/>
                  <w10:wrap type="none"/>
                  <w10:anchorlock/>
                </v:shape>
                <o:OLEObject Type="Embed" ProgID="Equation.DSMT4" ShapeID="_x0000_i1065" DrawAspect="Content" ObjectID="_1468075765" r:id="rId100">
                  <o:LockedField>false</o:LockedField>
                </o:OLEObject>
              </w:object>
            </w:r>
          </w:p>
        </w:tc>
        <w:tc>
          <w:tcPr>
            <w:tcW w:w="1235" w:type="dxa"/>
            <w:tcBorders>
              <w:tl2br w:val="nil"/>
              <w:tr2bl w:val="nil"/>
            </w:tcBorders>
          </w:tcPr>
          <w:p>
            <w:pPr>
              <w:spacing w:line="240" w:lineRule="auto"/>
              <w:ind w:firstLine="0" w:firstLineChars="0"/>
              <w:jc w:val="right"/>
            </w:pPr>
            <w:r>
              <w:rPr>
                <w:rFonts w:hint="eastAsia"/>
              </w:rPr>
              <w:t>（5.7</w:t>
            </w:r>
            <w:r>
              <w:t>.1</w:t>
            </w:r>
            <w:r>
              <w:rPr>
                <w:rFonts w:hint="eastAsi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25" w:type="dxa"/>
            <w:tcBorders>
              <w:tl2br w:val="nil"/>
              <w:tr2bl w:val="nil"/>
            </w:tcBorders>
          </w:tcPr>
          <w:p>
            <w:pPr>
              <w:spacing w:line="440" w:lineRule="exact"/>
              <w:ind w:firstLine="360"/>
            </w:pPr>
          </w:p>
        </w:tc>
        <w:tc>
          <w:tcPr>
            <w:tcW w:w="5262" w:type="dxa"/>
            <w:tcBorders>
              <w:tl2br w:val="nil"/>
              <w:tr2bl w:val="nil"/>
            </w:tcBorders>
          </w:tcPr>
          <w:p>
            <w:pPr>
              <w:spacing w:line="440" w:lineRule="exact"/>
              <w:ind w:firstLine="0" w:firstLineChars="0"/>
            </w:pPr>
            <w:r>
              <w:rPr>
                <w:position w:val="-12"/>
                <w:sz w:val="21"/>
                <w:szCs w:val="21"/>
              </w:rPr>
              <w:object>
                <v:shape id="_x0000_i1066" o:spt="75" type="#_x0000_t75" style="height:17.6pt;width:246.15pt;" o:ole="t" filled="f" o:preferrelative="t" stroked="f" coordsize="21600,21600">
                  <v:path/>
                  <v:fill on="f" focussize="0,0"/>
                  <v:stroke on="f" joinstyle="miter"/>
                  <v:imagedata r:id="rId103" o:title=""/>
                  <o:lock v:ext="edit" aspectratio="t"/>
                  <w10:wrap type="none"/>
                  <w10:anchorlock/>
                </v:shape>
                <o:OLEObject Type="Embed" ProgID="Equation.DSMT4" ShapeID="_x0000_i1066" DrawAspect="Content" ObjectID="_1468075766" r:id="rId102">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（5.7</w:t>
            </w:r>
            <w:r>
              <w:t>.1</w:t>
            </w:r>
            <w:r>
              <w:rPr>
                <w:rFonts w:hint="eastAsia"/>
              </w:rPr>
              <w:t>-6）</w:t>
            </w:r>
          </w:p>
        </w:tc>
      </w:tr>
    </w:tbl>
    <w:tbl>
      <w:tblPr>
        <w:tblStyle w:val="43"/>
        <w:tblW w:w="8557" w:type="dxa"/>
        <w:tblInd w:w="-34" w:type="dxa"/>
        <w:tblLayout w:type="fixed"/>
        <w:tblCellMar>
          <w:top w:w="0" w:type="dxa"/>
          <w:left w:w="108" w:type="dxa"/>
          <w:bottom w:w="0" w:type="dxa"/>
          <w:right w:w="108" w:type="dxa"/>
        </w:tblCellMar>
      </w:tblPr>
      <w:tblGrid>
        <w:gridCol w:w="851"/>
        <w:gridCol w:w="709"/>
        <w:gridCol w:w="709"/>
        <w:gridCol w:w="6288"/>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709" w:type="dxa"/>
          </w:tcPr>
          <w:p>
            <w:pPr>
              <w:spacing w:line="440" w:lineRule="exact"/>
              <w:ind w:firstLine="0" w:firstLineChars="0"/>
              <w:jc w:val="right"/>
            </w:pPr>
            <w:r>
              <w:rPr>
                <w:position w:val="-10"/>
              </w:rPr>
              <w:object>
                <v:shape id="_x0000_i1067" o:spt="75" type="#_x0000_t75" style="height:15.05pt;width:15.05pt;" o:ole="t" filled="f" o:preferrelative="t" stroked="f" coordsize="21600,21600">
                  <v:path/>
                  <v:fill on="f" focussize="0,0"/>
                  <v:stroke on="f" joinstyle="miter"/>
                  <v:imagedata r:id="rId105" o:title=""/>
                  <o:lock v:ext="edit" aspectratio="f"/>
                  <w10:wrap type="none"/>
                  <w10:anchorlock/>
                </v:shape>
                <o:OLEObject Type="Embed" ProgID="Equation.DSMT4" ShapeID="_x0000_i1067" DrawAspect="Content" ObjectID="_1468075767" r:id="rId104">
                  <o:LockedField>false</o:LockedField>
                </o:OLEObject>
              </w:objec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钢板组合剪力墙的简单叠加受压强度承载力设计值（N）；</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f</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钢材的屈服强度设计值（</w:t>
            </w:r>
            <w:r>
              <w:t>N/mm</w:t>
            </w:r>
            <w:r>
              <w:rPr>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f</w:t>
            </w:r>
            <w:r>
              <w:rPr>
                <w:sz w:val="20"/>
                <w:szCs w:val="20"/>
                <w:vertAlign w:val="subscript"/>
              </w:rPr>
              <w:t>c</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混凝土的抗压强度设计值</w:t>
            </w:r>
            <w:r>
              <w:t>（N/mm</w:t>
            </w:r>
            <w:r>
              <w:rPr>
                <w:vertAlign w:val="superscript"/>
              </w:rPr>
              <w:t>2</w:t>
            </w:r>
            <w:r>
              <w:t>）</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f</w:t>
            </w:r>
            <w:r>
              <w:rPr>
                <w:sz w:val="20"/>
                <w:szCs w:val="20"/>
                <w:vertAlign w:val="subscript"/>
              </w:rPr>
              <w:t>y</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钢材的屈服强度标准值（N</w:t>
            </w:r>
            <w:r>
              <w:t>/mm</w:t>
            </w:r>
            <w:r>
              <w:rPr>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f</w:t>
            </w:r>
            <w:r>
              <w:rPr>
                <w:sz w:val="20"/>
                <w:szCs w:val="20"/>
                <w:vertAlign w:val="subscript"/>
              </w:rPr>
              <w:t>ck</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混凝土的抗压强度标准值（N</w:t>
            </w:r>
            <w:r>
              <w:t>/mm</w:t>
            </w:r>
            <w:r>
              <w:rPr>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θ</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开孔钢板组合剪力墙的套箍系数；</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α</w:t>
            </w:r>
            <w:r>
              <w:rPr>
                <w:sz w:val="20"/>
                <w:szCs w:val="20"/>
                <w:vertAlign w:val="subscript"/>
              </w:rPr>
              <w:t>sc</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开孔钢板组合剪力墙的含钢率；</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rFonts w:eastAsiaTheme="minorEastAsia"/>
                <w:sz w:val="20"/>
                <w:szCs w:val="20"/>
              </w:rPr>
            </w:pPr>
            <w:r>
              <w:rPr>
                <w:sz w:val="20"/>
                <w:szCs w:val="20"/>
              </w:rPr>
              <w:t>B、C</w:t>
            </w:r>
          </w:p>
        </w:tc>
        <w:tc>
          <w:tcPr>
            <w:tcW w:w="709" w:type="dxa"/>
          </w:tcPr>
          <w:p>
            <w:pPr>
              <w:spacing w:line="440" w:lineRule="exact"/>
              <w:ind w:firstLine="0" w:firstLineChars="0"/>
              <w:jc w:val="both"/>
            </w:pPr>
            <w:r>
              <w:t>——</w:t>
            </w:r>
          </w:p>
        </w:tc>
        <w:tc>
          <w:tcPr>
            <w:tcW w:w="6288" w:type="dxa"/>
          </w:tcPr>
          <w:p>
            <w:pPr>
              <w:spacing w:line="440" w:lineRule="exact"/>
              <w:ind w:firstLine="0" w:firstLineChars="0"/>
              <w:rPr>
                <w:szCs w:val="20"/>
              </w:rPr>
            </w:pPr>
            <w:r>
              <w:rPr>
                <w:rFonts w:hint="eastAsia"/>
              </w:rPr>
              <w:t>影响系数。</w:t>
            </w:r>
          </w:p>
        </w:tc>
      </w:tr>
    </w:tbl>
    <w:p>
      <w:pPr>
        <w:pStyle w:val="74"/>
        <w:ind w:firstLine="400"/>
      </w:pPr>
      <w:r>
        <w:rPr>
          <w:rFonts w:hint="eastAsia"/>
        </w:rPr>
        <w:t>【条文说明】叠加理论是将钢板和混凝土两部分的承载力分别计算，然后进行简单叠加作为</w:t>
      </w:r>
      <w:r>
        <w:t>开孔</w:t>
      </w:r>
      <w:r>
        <w:rPr>
          <w:rFonts w:hint="eastAsia"/>
        </w:rPr>
        <w:t>钢板组合剪力墙的承载力，没有充分考虑标准连接件作用下钢板和混凝土的相互作用。本条在简单叠加的基础上，考虑由加劲钢板的约束作用所带来的承载力提高系数</w:t>
      </w:r>
      <w:r>
        <w:rPr>
          <w:position w:val="-10"/>
        </w:rPr>
        <w:object>
          <v:shape id="_x0000_i1068" o:spt="75" type="#_x0000_t75" style="height:11.7pt;width:9.2pt;" o:ole="t" filled="f" o:preferrelative="t" stroked="f" coordsize="21600,21600">
            <v:path/>
            <v:fill on="f" focussize="0,0"/>
            <v:stroke on="f" joinstyle="miter"/>
            <v:imagedata r:id="rId107" o:title=""/>
            <o:lock v:ext="edit" aspectratio="t"/>
            <w10:wrap type="none"/>
            <w10:anchorlock/>
          </v:shape>
          <o:OLEObject Type="Embed" ProgID="Equation.DSMT4" ShapeID="_x0000_i1068" DrawAspect="Content" ObjectID="_1468075768" r:id="rId106">
            <o:LockedField>false</o:LockedField>
          </o:OLEObject>
        </w:object>
      </w:r>
      <w:r>
        <w:rPr>
          <w:rFonts w:hint="eastAsia"/>
        </w:rPr>
        <w:t>，认为该提高系数</w:t>
      </w:r>
      <w:r>
        <w:rPr>
          <w:position w:val="-10"/>
        </w:rPr>
        <w:object>
          <v:shape id="_x0000_i1069" o:spt="75" type="#_x0000_t75" style="height:11.7pt;width:9.2pt;" o:ole="t" filled="f" o:preferrelative="t" stroked="f" coordsize="21600,21600">
            <v:path/>
            <v:fill on="f" focussize="0,0"/>
            <v:stroke on="f" joinstyle="miter"/>
            <v:imagedata r:id="rId109" o:title=""/>
            <o:lock v:ext="edit" aspectratio="t"/>
            <w10:wrap type="none"/>
            <w10:anchorlock/>
          </v:shape>
          <o:OLEObject Type="Embed" ProgID="Equation.DSMT4" ShapeID="_x0000_i1069" DrawAspect="Content" ObjectID="_1468075769" r:id="rId108">
            <o:LockedField>false</o:LockedField>
          </o:OLEObject>
        </w:object>
      </w:r>
      <w:r>
        <w:rPr>
          <w:rFonts w:hint="eastAsia"/>
        </w:rPr>
        <w:t>与套箍系数</w:t>
      </w:r>
      <w:r>
        <w:t>θ</w:t>
      </w:r>
      <w:r>
        <w:rPr>
          <w:rFonts w:hint="eastAsia"/>
        </w:rPr>
        <w:t>有关。</w:t>
      </w:r>
    </w:p>
    <w:p>
      <w:pPr>
        <w:pStyle w:val="4"/>
        <w:ind w:left="0"/>
      </w:pPr>
      <w:r>
        <w:rPr>
          <w:rFonts w:hint="eastAsia"/>
        </w:rPr>
        <w:t>平面外受压稳定承载力设计值应按下列公式计算：</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2"/>
        <w:gridCol w:w="5825"/>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2" w:type="dxa"/>
            <w:tcBorders>
              <w:tl2br w:val="nil"/>
              <w:tr2bl w:val="nil"/>
            </w:tcBorders>
          </w:tcPr>
          <w:p>
            <w:pPr>
              <w:spacing w:line="440" w:lineRule="exact"/>
              <w:ind w:firstLine="360"/>
            </w:pPr>
          </w:p>
        </w:tc>
        <w:tc>
          <w:tcPr>
            <w:tcW w:w="5825" w:type="dxa"/>
            <w:tcBorders>
              <w:tl2br w:val="nil"/>
              <w:tr2bl w:val="nil"/>
            </w:tcBorders>
          </w:tcPr>
          <w:p>
            <w:pPr>
              <w:spacing w:line="440" w:lineRule="exact"/>
              <w:ind w:firstLine="0" w:firstLineChars="0"/>
              <w:jc w:val="center"/>
            </w:pPr>
            <w:r>
              <w:rPr>
                <w:position w:val="-12"/>
                <w:sz w:val="21"/>
                <w:szCs w:val="21"/>
              </w:rPr>
              <w:object>
                <v:shape id="_x0000_i1070" o:spt="75" type="#_x0000_t75" style="height:15.9pt;width:48.55pt;" o:ole="t" filled="f" o:preferrelative="t" stroked="f" coordsize="21600,21600">
                  <v:path/>
                  <v:fill on="f" focussize="0,0"/>
                  <v:stroke on="f" joinstyle="miter"/>
                  <v:imagedata r:id="rId111" o:title=""/>
                  <o:lock v:ext="edit" aspectratio="f"/>
                  <w10:wrap type="none"/>
                  <w10:anchorlock/>
                </v:shape>
                <o:OLEObject Type="Embed" ProgID="Equation.DSMT4" ShapeID="_x0000_i1070" DrawAspect="Content" ObjectID="_1468075770" r:id="rId110">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5.7.2-1</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2" w:type="dxa"/>
            <w:tcBorders>
              <w:tl2br w:val="nil"/>
              <w:tr2bl w:val="nil"/>
            </w:tcBorders>
          </w:tcPr>
          <w:p>
            <w:pPr>
              <w:spacing w:line="240" w:lineRule="auto"/>
              <w:ind w:firstLine="360"/>
            </w:pPr>
          </w:p>
        </w:tc>
        <w:tc>
          <w:tcPr>
            <w:tcW w:w="5825" w:type="dxa"/>
            <w:tcBorders>
              <w:tl2br w:val="nil"/>
              <w:tr2bl w:val="nil"/>
            </w:tcBorders>
          </w:tcPr>
          <w:p>
            <w:pPr>
              <w:spacing w:line="240" w:lineRule="auto"/>
              <w:ind w:firstLine="0" w:firstLineChars="0"/>
              <w:jc w:val="center"/>
              <w:rPr>
                <w:position w:val="-56"/>
              </w:rPr>
            </w:pPr>
            <w:r>
              <w:rPr>
                <w:position w:val="-42"/>
                <w:sz w:val="21"/>
                <w:szCs w:val="21"/>
              </w:rPr>
              <w:object>
                <v:shape id="_x0000_i1071" o:spt="75" type="#_x0000_t75" style="height:46.05pt;width:198.4pt;" o:ole="t" filled="f" o:preferrelative="t" stroked="f" coordsize="21600,21600">
                  <v:path/>
                  <v:fill on="f" focussize="0,0"/>
                  <v:stroke on="f" joinstyle="miter"/>
                  <v:imagedata r:id="rId113" o:title=""/>
                  <o:lock v:ext="edit" aspectratio="f"/>
                  <w10:wrap type="none"/>
                  <w10:anchorlock/>
                </v:shape>
                <o:OLEObject Type="Embed" ProgID="Equation.DSMT4" ShapeID="_x0000_i1071" DrawAspect="Content" ObjectID="_1468075771" r:id="rId112">
                  <o:LockedField>false</o:LockedField>
                </o:OLEObject>
              </w:object>
            </w:r>
          </w:p>
        </w:tc>
        <w:tc>
          <w:tcPr>
            <w:tcW w:w="1235" w:type="dxa"/>
            <w:tcBorders>
              <w:tl2br w:val="nil"/>
              <w:tr2bl w:val="nil"/>
            </w:tcBorders>
          </w:tcPr>
          <w:p>
            <w:pPr>
              <w:spacing w:line="240" w:lineRule="auto"/>
              <w:ind w:firstLine="0" w:firstLineChars="0"/>
              <w:jc w:val="right"/>
            </w:pPr>
          </w:p>
          <w:p>
            <w:pPr>
              <w:spacing w:line="240" w:lineRule="auto"/>
              <w:ind w:firstLine="0" w:firstLineChars="0"/>
              <w:jc w:val="right"/>
            </w:pPr>
            <w:r>
              <w:rPr>
                <w:rFonts w:hint="eastAsia"/>
              </w:rPr>
              <w:t>（</w:t>
            </w:r>
            <w:r>
              <w:t>5.7.2-2</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2" w:type="dxa"/>
            <w:tcBorders>
              <w:tl2br w:val="nil"/>
              <w:tr2bl w:val="nil"/>
            </w:tcBorders>
          </w:tcPr>
          <w:p>
            <w:pPr>
              <w:spacing w:line="440" w:lineRule="exact"/>
              <w:ind w:firstLine="360"/>
            </w:pPr>
          </w:p>
        </w:tc>
        <w:tc>
          <w:tcPr>
            <w:tcW w:w="5825" w:type="dxa"/>
            <w:tcBorders>
              <w:tl2br w:val="nil"/>
              <w:tr2bl w:val="nil"/>
            </w:tcBorders>
          </w:tcPr>
          <w:p>
            <w:pPr>
              <w:spacing w:line="440" w:lineRule="exact"/>
              <w:ind w:firstLine="0" w:firstLineChars="0"/>
              <w:jc w:val="center"/>
              <w:rPr>
                <w:position w:val="-10"/>
              </w:rPr>
            </w:pPr>
            <w:r>
              <w:rPr>
                <w:position w:val="-12"/>
                <w:sz w:val="21"/>
                <w:szCs w:val="21"/>
              </w:rPr>
              <w:object>
                <v:shape id="_x0000_i1072" o:spt="75" type="#_x0000_t75" style="height:19.25pt;width:169.1pt;" o:ole="t" filled="f" o:preferrelative="t" stroked="f" coordsize="21600,21600">
                  <v:path/>
                  <v:fill on="f" focussize="0,0"/>
                  <v:stroke on="f" joinstyle="miter"/>
                  <v:imagedata r:id="rId115" o:title=""/>
                  <o:lock v:ext="edit" aspectratio="t"/>
                  <w10:wrap type="none"/>
                  <w10:anchorlock/>
                </v:shape>
                <o:OLEObject Type="Embed" ProgID="Equation.DSMT4" ShapeID="_x0000_i1072" DrawAspect="Content" ObjectID="_1468075772" r:id="rId114">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5.7.2-3</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2" w:type="dxa"/>
            <w:tcBorders>
              <w:tl2br w:val="nil"/>
              <w:tr2bl w:val="nil"/>
            </w:tcBorders>
          </w:tcPr>
          <w:p>
            <w:pPr>
              <w:spacing w:line="440" w:lineRule="exact"/>
              <w:ind w:firstLine="360"/>
            </w:pPr>
          </w:p>
        </w:tc>
        <w:tc>
          <w:tcPr>
            <w:tcW w:w="5825" w:type="dxa"/>
            <w:tcBorders>
              <w:tl2br w:val="nil"/>
              <w:tr2bl w:val="nil"/>
            </w:tcBorders>
          </w:tcPr>
          <w:p>
            <w:pPr>
              <w:spacing w:line="440" w:lineRule="exact"/>
              <w:ind w:firstLine="0" w:firstLineChars="0"/>
              <w:jc w:val="center"/>
              <w:rPr>
                <w:position w:val="-10"/>
              </w:rPr>
            </w:pPr>
            <w:r>
              <w:rPr>
                <w:position w:val="-14"/>
                <w:sz w:val="21"/>
                <w:szCs w:val="21"/>
              </w:rPr>
              <w:object>
                <v:shape id="_x0000_i1073" o:spt="75" type="#_x0000_t75" style="height:19.25pt;width:63.65pt;" o:ole="t" filled="f" o:preferrelative="t" stroked="f" coordsize="21600,21600">
                  <v:path/>
                  <v:fill on="f" focussize="0,0"/>
                  <v:stroke on="f" joinstyle="miter"/>
                  <v:imagedata r:id="rId117" o:title=""/>
                  <o:lock v:ext="edit" aspectratio="f"/>
                  <w10:wrap type="none"/>
                  <w10:anchorlock/>
                </v:shape>
                <o:OLEObject Type="Embed" ProgID="Equation.DSMT4" ShapeID="_x0000_i1073" DrawAspect="Content" ObjectID="_1468075773" r:id="rId116">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5.7.2-4</w:t>
            </w:r>
            <w:r>
              <w:rPr>
                <w:rFonts w:hint="eastAsia"/>
              </w:rPr>
              <w:t>）</w:t>
            </w:r>
          </w:p>
        </w:tc>
      </w:tr>
    </w:tbl>
    <w:tbl>
      <w:tblPr>
        <w:tblStyle w:val="43"/>
        <w:tblW w:w="8415" w:type="dxa"/>
        <w:tblInd w:w="108" w:type="dxa"/>
        <w:tblLayout w:type="fixed"/>
        <w:tblCellMar>
          <w:top w:w="0" w:type="dxa"/>
          <w:left w:w="108" w:type="dxa"/>
          <w:bottom w:w="0" w:type="dxa"/>
          <w:right w:w="108" w:type="dxa"/>
        </w:tblCellMar>
      </w:tblPr>
      <w:tblGrid>
        <w:gridCol w:w="851"/>
        <w:gridCol w:w="709"/>
        <w:gridCol w:w="708"/>
        <w:gridCol w:w="6147"/>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709" w:type="dxa"/>
          </w:tcPr>
          <w:p>
            <w:pPr>
              <w:spacing w:line="440" w:lineRule="exact"/>
              <w:ind w:firstLine="0" w:firstLineChars="0"/>
              <w:jc w:val="right"/>
            </w:pPr>
            <w:r>
              <w:rPr>
                <w:i/>
                <w:sz w:val="20"/>
                <w:szCs w:val="20"/>
              </w:rPr>
              <w:t>N</w:t>
            </w:r>
            <w:r>
              <w:rPr>
                <w:sz w:val="20"/>
                <w:szCs w:val="20"/>
                <w:vertAlign w:val="subscript"/>
              </w:rPr>
              <w:t>u,cr</w: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ascii="Calibri" w:hAnsi="Calibri"/>
              </w:rPr>
              <w:t>钢板组合剪力墙轴心平面外受压稳定承载力；</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N</w:t>
            </w:r>
            <w:r>
              <w:rPr>
                <w:sz w:val="20"/>
                <w:szCs w:val="20"/>
                <w:vertAlign w:val="subscript"/>
              </w:rPr>
              <w:t>u</w: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ascii="Calibri" w:hAnsi="Calibri"/>
              </w:rPr>
              <w:t>钢板组合剪力墙轴心受压强度承载力设计值，</w:t>
            </w:r>
            <w:r>
              <w:rPr>
                <w:rFonts w:ascii="Calibri" w:hAnsi="Calibri"/>
              </w:rPr>
              <w:t>按</w:t>
            </w:r>
            <w:r>
              <w:rPr>
                <w:rFonts w:hint="eastAsia" w:ascii="Calibri" w:hAnsi="Calibri"/>
              </w:rPr>
              <w:t>本标准公</w:t>
            </w:r>
            <w:r>
              <w:t>式</w:t>
            </w:r>
            <w:r>
              <w:rPr>
                <w:rFonts w:hint="eastAsia"/>
              </w:rPr>
              <w:t>（</w:t>
            </w:r>
            <w:r>
              <w:t>5.</w:t>
            </w:r>
            <w:r>
              <w:rPr>
                <w:rFonts w:hint="eastAsia"/>
              </w:rPr>
              <w:t>7</w:t>
            </w:r>
            <w:r>
              <w:t>.</w:t>
            </w:r>
            <w:r>
              <w:rPr>
                <w:rFonts w:hint="eastAsia"/>
              </w:rPr>
              <w:t>2-1）</w:t>
            </w:r>
            <w:r>
              <w:rPr>
                <w:rFonts w:hint="eastAsia" w:ascii="Calibri" w:hAnsi="Calibri"/>
              </w:rPr>
              <w:t>计算；</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φ</w: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ascii="Calibri" w:hAnsi="Calibri"/>
              </w:rPr>
              <w:t>钢板组合剪力墙轴心受压的稳定系数；</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i/>
                <w:sz w:val="20"/>
                <w:szCs w:val="20"/>
              </w:rPr>
            </w:pPr>
            <w:r>
              <w:rPr>
                <w:i/>
                <w:sz w:val="20"/>
                <w:szCs w:val="20"/>
              </w:rPr>
              <w:t>f</w:t>
            </w:r>
            <w:r>
              <w:rPr>
                <w:sz w:val="20"/>
                <w:szCs w:val="20"/>
                <w:vertAlign w:val="subscript"/>
              </w:rPr>
              <w:t>y</w:t>
            </w:r>
          </w:p>
        </w:tc>
        <w:tc>
          <w:tcPr>
            <w:tcW w:w="708" w:type="dxa"/>
          </w:tcPr>
          <w:p>
            <w:pPr>
              <w:spacing w:line="440" w:lineRule="exact"/>
              <w:ind w:firstLine="0" w:firstLineChars="0"/>
              <w:jc w:val="both"/>
            </w:pPr>
            <w:r>
              <w:t>——</w:t>
            </w:r>
          </w:p>
        </w:tc>
        <w:tc>
          <w:tcPr>
            <w:tcW w:w="6147" w:type="dxa"/>
          </w:tcPr>
          <w:p>
            <w:pPr>
              <w:spacing w:line="440" w:lineRule="exact"/>
              <w:ind w:firstLine="0" w:firstLineChars="0"/>
              <w:rPr>
                <w:rFonts w:ascii="Calibri" w:hAnsi="Calibri"/>
              </w:rPr>
            </w:pPr>
            <w:r>
              <w:rPr>
                <w:rFonts w:hint="eastAsia"/>
              </w:rPr>
              <w:t>钢材的屈服强度标准值（N</w:t>
            </w:r>
            <w:r>
              <w:t>/mm</w:t>
            </w:r>
            <w:r>
              <w:rPr>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i/>
                <w:sz w:val="20"/>
                <w:szCs w:val="20"/>
              </w:rPr>
            </w:pPr>
            <w:r>
              <w:rPr>
                <w:i/>
                <w:sz w:val="20"/>
                <w:szCs w:val="20"/>
              </w:rPr>
              <w:t>f</w:t>
            </w:r>
            <w:r>
              <w:rPr>
                <w:sz w:val="20"/>
                <w:szCs w:val="20"/>
                <w:vertAlign w:val="subscript"/>
              </w:rPr>
              <w:t>ck</w:t>
            </w:r>
          </w:p>
        </w:tc>
        <w:tc>
          <w:tcPr>
            <w:tcW w:w="708" w:type="dxa"/>
          </w:tcPr>
          <w:p>
            <w:pPr>
              <w:spacing w:line="440" w:lineRule="exact"/>
              <w:ind w:firstLine="0" w:firstLineChars="0"/>
              <w:jc w:val="both"/>
            </w:pPr>
            <w:r>
              <w:t>——</w:t>
            </w:r>
          </w:p>
        </w:tc>
        <w:tc>
          <w:tcPr>
            <w:tcW w:w="6147" w:type="dxa"/>
          </w:tcPr>
          <w:p>
            <w:pPr>
              <w:spacing w:line="440" w:lineRule="exact"/>
              <w:ind w:firstLine="0" w:firstLineChars="0"/>
              <w:rPr>
                <w:rFonts w:ascii="Calibri" w:hAnsi="Calibri"/>
              </w:rPr>
            </w:pPr>
            <w:r>
              <w:rPr>
                <w:rFonts w:hint="eastAsia"/>
              </w:rPr>
              <w:t>混凝土的抗压强度标准值（N</w:t>
            </w:r>
            <w:r>
              <w:t>/mm</w:t>
            </w:r>
            <w:r>
              <w:rPr>
                <w:vertAlign w:val="superscript"/>
              </w:rPr>
              <w:t>2</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sz w:val="20"/>
                <w:szCs w:val="20"/>
              </w:rPr>
            </w:pPr>
            <w:r>
              <w:rPr>
                <w:i/>
                <w:sz w:val="20"/>
                <w:szCs w:val="20"/>
              </w:rPr>
              <w:t>λ</w:t>
            </w:r>
            <w:r>
              <w:rPr>
                <w:sz w:val="20"/>
                <w:szCs w:val="20"/>
                <w:vertAlign w:val="subscript"/>
              </w:rPr>
              <w:t>0</w: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ascii="Calibri" w:hAnsi="Calibri"/>
              </w:rPr>
              <w:t>强度破坏界限长细比；</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jc w:val="right"/>
              <w:rPr>
                <w:i/>
                <w:sz w:val="20"/>
                <w:szCs w:val="20"/>
              </w:rPr>
            </w:pPr>
            <w:r>
              <w:rPr>
                <w:i/>
                <w:sz w:val="20"/>
                <w:szCs w:val="20"/>
              </w:rPr>
              <w:t>λ</w:t>
            </w:r>
            <w:r>
              <w:rPr>
                <w:sz w:val="20"/>
                <w:szCs w:val="20"/>
                <w:vertAlign w:val="subscript"/>
              </w:rPr>
              <w:t>p</w:t>
            </w:r>
          </w:p>
        </w:tc>
        <w:tc>
          <w:tcPr>
            <w:tcW w:w="708" w:type="dxa"/>
          </w:tcPr>
          <w:p>
            <w:pPr>
              <w:spacing w:line="440" w:lineRule="exact"/>
              <w:ind w:firstLine="0" w:firstLineChars="0"/>
              <w:jc w:val="both"/>
            </w:pPr>
            <w:r>
              <w:t>——</w:t>
            </w:r>
          </w:p>
        </w:tc>
        <w:tc>
          <w:tcPr>
            <w:tcW w:w="6147" w:type="dxa"/>
          </w:tcPr>
          <w:p>
            <w:pPr>
              <w:spacing w:line="440" w:lineRule="exact"/>
              <w:ind w:firstLine="0" w:firstLineChars="0"/>
              <w:rPr>
                <w:rFonts w:ascii="Calibri" w:hAnsi="Calibri"/>
              </w:rPr>
            </w:pPr>
            <w:r>
              <w:rPr>
                <w:rFonts w:hint="eastAsia" w:ascii="Calibri" w:hAnsi="Calibri"/>
              </w:rPr>
              <w:t>弹塑性失稳界限长细比。</w:t>
            </w:r>
          </w:p>
        </w:tc>
      </w:tr>
    </w:tbl>
    <w:p>
      <w:pPr>
        <w:pStyle w:val="74"/>
        <w:ind w:firstLine="400"/>
      </w:pPr>
      <w:r>
        <w:rPr>
          <w:rFonts w:hint="eastAsia"/>
        </w:rPr>
        <w:t>【条文说明】本条参考现行国家标准《钢管混凝土结构技术规范》GB 50936中轴压稳定承载力计算方法。提出开孔钢板组合剪力墙平面外轴心受压稳定系数</w:t>
      </w:r>
      <w:r>
        <w:rPr>
          <w:i/>
          <w:iCs/>
        </w:rPr>
        <w:t>φ</w:t>
      </w:r>
      <w:r>
        <w:rPr>
          <w:rFonts w:hint="eastAsia"/>
        </w:rPr>
        <w:t>，该稳定系数采用分段函数形式表达。</w:t>
      </w:r>
    </w:p>
    <w:p>
      <w:pPr>
        <w:pStyle w:val="4"/>
        <w:ind w:left="0"/>
      </w:pPr>
      <w:r>
        <w:rPr>
          <w:rFonts w:hint="eastAsia"/>
          <w:bCs w:val="0"/>
        </w:rPr>
        <w:t>抗</w:t>
      </w:r>
      <w:r>
        <w:rPr>
          <w:rFonts w:hint="eastAsia"/>
        </w:rPr>
        <w:t>弯承载力设计值</w:t>
      </w:r>
    </w:p>
    <w:p>
      <w:r>
        <w:rPr>
          <w:rFonts w:hint="eastAsia"/>
        </w:rPr>
        <w:t>开孔钢板组合剪力墙受弯包括翼缘墙肢受压和受拉两种情况，以T形墙肢为例分别计算两种情况下的抗弯承载力。正交方向受弯时，抗弯承载力采用一字形墙肢近似计算。</w:t>
      </w:r>
    </w:p>
    <w:p>
      <w:pPr>
        <w:ind w:firstLine="316" w:firstLineChars="150"/>
      </w:pPr>
      <w:r>
        <w:rPr>
          <w:rFonts w:hint="eastAsia"/>
          <w:b/>
          <w:bCs/>
        </w:rPr>
        <w:t>1</w:t>
      </w:r>
      <w:r>
        <w:rPr>
          <w:rFonts w:hint="eastAsia"/>
        </w:rPr>
        <w:t xml:space="preserve"> 开孔钢板组合剪力墙翼缘墙肢受压时，塑性中和轴高度一般位于截面腹板墙肢内（图5.7.3-1），抗弯承载力设计值按下式计算：</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7"/>
        <w:gridCol w:w="5950"/>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240" w:lineRule="auto"/>
              <w:ind w:firstLine="360"/>
            </w:pPr>
          </w:p>
        </w:tc>
        <w:tc>
          <w:tcPr>
            <w:tcW w:w="5950" w:type="dxa"/>
            <w:tcBorders>
              <w:tl2br w:val="nil"/>
              <w:tr2bl w:val="nil"/>
            </w:tcBorders>
          </w:tcPr>
          <w:p>
            <w:pPr>
              <w:spacing w:line="240" w:lineRule="auto"/>
              <w:ind w:firstLine="0" w:firstLineChars="0"/>
              <w:jc w:val="center"/>
            </w:pPr>
            <w:r>
              <w:rPr>
                <w:position w:val="-42"/>
                <w:sz w:val="21"/>
                <w:szCs w:val="21"/>
              </w:rPr>
              <w:object>
                <v:shape id="_x0000_i1074" o:spt="75" type="#_x0000_t75" style="height:43.55pt;width:91.25pt;" o:ole="t" filled="f" o:preferrelative="t" stroked="f" coordsize="21600,21600">
                  <v:path/>
                  <v:fill on="f" focussize="0,0"/>
                  <v:stroke on="f" joinstyle="miter"/>
                  <v:imagedata r:id="rId119" o:title=""/>
                  <o:lock v:ext="edit" aspectratio="t"/>
                  <w10:wrap type="none"/>
                  <w10:anchorlock/>
                </v:shape>
                <o:OLEObject Type="Embed" ProgID="Equation.DSMT4" ShapeID="_x0000_i1074" DrawAspect="Content" ObjectID="_1468075774" r:id="rId118">
                  <o:LockedField>false</o:LockedField>
                </o:OLEObject>
              </w:object>
            </w:r>
          </w:p>
        </w:tc>
        <w:tc>
          <w:tcPr>
            <w:tcW w:w="1235" w:type="dxa"/>
            <w:tcBorders>
              <w:tl2br w:val="nil"/>
              <w:tr2bl w:val="nil"/>
            </w:tcBorders>
          </w:tcPr>
          <w:p>
            <w:pPr>
              <w:spacing w:line="240" w:lineRule="auto"/>
              <w:ind w:firstLine="0" w:firstLineChars="0"/>
              <w:jc w:val="right"/>
            </w:pPr>
            <w:r>
              <w:rPr>
                <w:rFonts w:hint="eastAsia"/>
              </w:rPr>
              <w:t>（</w:t>
            </w:r>
            <w:r>
              <w:t>5.7.3-</w:t>
            </w:r>
            <w:r>
              <w:rPr>
                <w:rFonts w:hint="eastAsi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440" w:lineRule="exact"/>
              <w:ind w:firstLine="360"/>
              <w:jc w:val="center"/>
            </w:pPr>
          </w:p>
        </w:tc>
        <w:tc>
          <w:tcPr>
            <w:tcW w:w="5950" w:type="dxa"/>
            <w:tcBorders>
              <w:tl2br w:val="nil"/>
              <w:tr2bl w:val="nil"/>
            </w:tcBorders>
          </w:tcPr>
          <w:p>
            <w:pPr>
              <w:spacing w:line="440" w:lineRule="exact"/>
              <w:ind w:firstLine="0" w:firstLineChars="0"/>
              <w:jc w:val="center"/>
              <w:rPr>
                <w:position w:val="-10"/>
              </w:rPr>
            </w:pPr>
            <w:r>
              <w:rPr>
                <w:position w:val="-10"/>
                <w:sz w:val="21"/>
                <w:szCs w:val="21"/>
              </w:rPr>
              <w:object>
                <v:shape id="_x0000_i1075" o:spt="75" type="#_x0000_t75" style="height:15.05pt;width:36.85pt;" o:ole="t" filled="f" o:preferrelative="t" stroked="f" coordsize="21600,21600">
                  <v:path/>
                  <v:fill on="f" focussize="0,0"/>
                  <v:stroke on="f" joinstyle="miter"/>
                  <v:imagedata r:id="rId121" o:title=""/>
                  <o:lock v:ext="edit" aspectratio="f"/>
                  <w10:wrap type="none"/>
                  <w10:anchorlock/>
                </v:shape>
                <o:OLEObject Type="Embed" ProgID="Equation.DSMT4" ShapeID="_x0000_i1075" DrawAspect="Content" ObjectID="_1468075775" r:id="rId120">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5.7.3-</w:t>
            </w:r>
            <w:r>
              <w:rPr>
                <w:rFonts w:hint="eastAsi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440" w:lineRule="exact"/>
              <w:ind w:firstLine="360"/>
            </w:pPr>
          </w:p>
        </w:tc>
        <w:tc>
          <w:tcPr>
            <w:tcW w:w="5950" w:type="dxa"/>
            <w:tcBorders>
              <w:tl2br w:val="nil"/>
              <w:tr2bl w:val="nil"/>
            </w:tcBorders>
          </w:tcPr>
          <w:p>
            <w:pPr>
              <w:spacing w:line="440" w:lineRule="exact"/>
              <w:ind w:firstLine="0" w:firstLineChars="0"/>
              <w:jc w:val="center"/>
              <w:rPr>
                <w:position w:val="-10"/>
              </w:rPr>
            </w:pPr>
            <w:r>
              <w:rPr>
                <w:position w:val="-10"/>
                <w:sz w:val="21"/>
                <w:szCs w:val="21"/>
              </w:rPr>
              <w:object>
                <v:shape id="_x0000_i1076" o:spt="75" type="#_x0000_t75" style="height:15.05pt;width:37.65pt;" o:ole="t" filled="f" o:preferrelative="t" stroked="f" coordsize="21600,21600">
                  <v:path/>
                  <v:fill on="f" focussize="0,0"/>
                  <v:stroke on="f" joinstyle="miter"/>
                  <v:imagedata r:id="rId123" o:title=""/>
                  <o:lock v:ext="edit" aspectratio="f"/>
                  <w10:wrap type="none"/>
                  <w10:anchorlock/>
                </v:shape>
                <o:OLEObject Type="Embed" ProgID="Equation.DSMT4" ShapeID="_x0000_i1076" DrawAspect="Content" ObjectID="_1468075776" r:id="rId122">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5.7.3-</w:t>
            </w:r>
            <w:r>
              <w:rPr>
                <w:rFonts w:hint="eastAsi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440" w:lineRule="exact"/>
              <w:ind w:firstLine="360"/>
            </w:pPr>
          </w:p>
        </w:tc>
        <w:tc>
          <w:tcPr>
            <w:tcW w:w="5950" w:type="dxa"/>
            <w:tcBorders>
              <w:tl2br w:val="nil"/>
              <w:tr2bl w:val="nil"/>
            </w:tcBorders>
          </w:tcPr>
          <w:p>
            <w:pPr>
              <w:spacing w:line="440" w:lineRule="exact"/>
              <w:ind w:firstLine="0" w:firstLineChars="0"/>
              <w:jc w:val="center"/>
              <w:rPr>
                <w:position w:val="-10"/>
              </w:rPr>
            </w:pPr>
            <w:r>
              <w:rPr>
                <w:position w:val="-10"/>
                <w:sz w:val="21"/>
                <w:szCs w:val="21"/>
              </w:rPr>
              <w:object>
                <v:shape id="_x0000_i1077" o:spt="75" type="#_x0000_t75" style="height:15.05pt;width:196.75pt;" o:ole="t" filled="f" o:preferrelative="t" stroked="f" coordsize="21600,21600">
                  <v:path/>
                  <v:fill on="f" focussize="0,0"/>
                  <v:stroke on="f" joinstyle="miter"/>
                  <v:imagedata r:id="rId125" o:title=""/>
                  <o:lock v:ext="edit" aspectratio="f"/>
                  <w10:wrap type="none"/>
                  <w10:anchorlock/>
                </v:shape>
                <o:OLEObject Type="Embed" ProgID="Equation.DSMT4" ShapeID="_x0000_i1077" DrawAspect="Content" ObjectID="_1468075777" r:id="rId124">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5.7.3-</w:t>
            </w:r>
            <w:r>
              <w:rPr>
                <w:rFonts w:hint="eastAsi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440" w:lineRule="exact"/>
              <w:ind w:firstLine="360"/>
            </w:pPr>
          </w:p>
        </w:tc>
        <w:tc>
          <w:tcPr>
            <w:tcW w:w="5950" w:type="dxa"/>
            <w:tcBorders>
              <w:tl2br w:val="nil"/>
              <w:tr2bl w:val="nil"/>
            </w:tcBorders>
          </w:tcPr>
          <w:p>
            <w:pPr>
              <w:spacing w:line="440" w:lineRule="exact"/>
              <w:ind w:firstLine="0" w:firstLineChars="0"/>
              <w:jc w:val="center"/>
            </w:pPr>
            <w:r>
              <w:rPr>
                <w:position w:val="-10"/>
                <w:sz w:val="21"/>
                <w:szCs w:val="21"/>
              </w:rPr>
              <w:object>
                <v:shape id="_x0000_i1078" o:spt="75" type="#_x0000_t75" style="height:15.9pt;width:195.9pt;" o:ole="t" filled="f" o:preferrelative="t" stroked="f" coordsize="21600,21600">
                  <v:path/>
                  <v:fill on="f" focussize="0,0"/>
                  <v:stroke on="f" joinstyle="miter"/>
                  <v:imagedata r:id="rId127" o:title=""/>
                  <o:lock v:ext="edit" aspectratio="f"/>
                  <w10:wrap type="none"/>
                  <w10:anchorlock/>
                </v:shape>
                <o:OLEObject Type="Embed" ProgID="Equation.DSMT4" ShapeID="_x0000_i1078" DrawAspect="Content" ObjectID="_1468075778" r:id="rId126">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5.7.3-</w:t>
            </w:r>
            <w:r>
              <w:rPr>
                <w:rFonts w:hint="eastAsi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tcPr>
          <w:p>
            <w:pPr>
              <w:spacing w:line="440" w:lineRule="exact"/>
              <w:ind w:firstLine="360"/>
            </w:pPr>
          </w:p>
        </w:tc>
        <w:tc>
          <w:tcPr>
            <w:tcW w:w="5950" w:type="dxa"/>
            <w:tcBorders>
              <w:tl2br w:val="nil"/>
              <w:tr2bl w:val="nil"/>
            </w:tcBorders>
          </w:tcPr>
          <w:p>
            <w:pPr>
              <w:spacing w:line="440" w:lineRule="exact"/>
              <w:ind w:firstLine="0" w:firstLineChars="0"/>
              <w:jc w:val="center"/>
            </w:pPr>
            <w:r>
              <w:rPr>
                <w:position w:val="-10"/>
                <w:sz w:val="21"/>
                <w:szCs w:val="21"/>
              </w:rPr>
              <w:object>
                <v:shape id="_x0000_i1079" o:spt="75" type="#_x0000_t75" style="height:15.05pt;width:94.6pt;" o:ole="t" filled="f" o:preferrelative="t" stroked="f" coordsize="21600,21600">
                  <v:path/>
                  <v:fill on="f" focussize="0,0"/>
                  <v:stroke on="f" joinstyle="miter"/>
                  <v:imagedata r:id="rId129" o:title=""/>
                  <o:lock v:ext="edit" aspectratio="f"/>
                  <w10:wrap type="none"/>
                  <w10:anchorlock/>
                </v:shape>
                <o:OLEObject Type="Embed" ProgID="Equation.DSMT4" ShapeID="_x0000_i1079" DrawAspect="Content" ObjectID="_1468075779" r:id="rId128">
                  <o:LockedField>false</o:LockedField>
                </o:OLEObject>
              </w:object>
            </w:r>
          </w:p>
        </w:tc>
        <w:tc>
          <w:tcPr>
            <w:tcW w:w="1235" w:type="dxa"/>
            <w:tcBorders>
              <w:tl2br w:val="nil"/>
              <w:tr2bl w:val="nil"/>
            </w:tcBorders>
          </w:tcPr>
          <w:p>
            <w:pPr>
              <w:spacing w:line="440" w:lineRule="exact"/>
              <w:ind w:firstLine="0" w:firstLineChars="0"/>
              <w:jc w:val="right"/>
            </w:pPr>
            <w:r>
              <w:rPr>
                <w:rFonts w:hint="eastAsia"/>
              </w:rPr>
              <w:t>（</w:t>
            </w:r>
            <w:r>
              <w:t>5.7.3-</w:t>
            </w:r>
            <w:r>
              <w:rPr>
                <w:rFonts w:hint="eastAsia"/>
              </w:rPr>
              <w:t>6）</w:t>
            </w:r>
          </w:p>
        </w:tc>
      </w:tr>
    </w:tbl>
    <w:tbl>
      <w:tblPr>
        <w:tblStyle w:val="43"/>
        <w:tblW w:w="8415" w:type="dxa"/>
        <w:tblInd w:w="108" w:type="dxa"/>
        <w:tblLayout w:type="fixed"/>
        <w:tblCellMar>
          <w:top w:w="0" w:type="dxa"/>
          <w:left w:w="108" w:type="dxa"/>
          <w:bottom w:w="0" w:type="dxa"/>
          <w:right w:w="108" w:type="dxa"/>
        </w:tblCellMar>
      </w:tblPr>
      <w:tblGrid>
        <w:gridCol w:w="851"/>
        <w:gridCol w:w="709"/>
        <w:gridCol w:w="708"/>
        <w:gridCol w:w="6147"/>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709" w:type="dxa"/>
          </w:tcPr>
          <w:p>
            <w:pPr>
              <w:spacing w:line="440" w:lineRule="exact"/>
              <w:ind w:firstLine="0" w:firstLineChars="0"/>
            </w:pPr>
            <w:r>
              <w:rPr>
                <w:position w:val="-4"/>
              </w:rPr>
              <w:object>
                <v:shape id="_x0000_i1080" o:spt="75" type="#_x0000_t75" style="height:10.9pt;width:14.25pt;" o:ole="t" filled="f" o:preferrelative="t" stroked="f" coordsize="21600,21600">
                  <v:path/>
                  <v:fill on="f" focussize="0,0"/>
                  <v:stroke on="f" joinstyle="miter"/>
                  <v:imagedata r:id="rId131" o:title=""/>
                  <o:lock v:ext="edit" aspectratio="f"/>
                  <w10:wrap type="none"/>
                  <w10:anchorlock/>
                </v:shape>
                <o:OLEObject Type="Embed" ProgID="Equation.DSMT4" ShapeID="_x0000_i1080" DrawAspect="Content" ObjectID="_1468075780" r:id="rId130">
                  <o:LockedField>false</o:LockedField>
                </o:OLEObject>
              </w:objec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rPr>
              <w:t>钢板组合剪力墙截面抗弯承载力；</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rPr>
                <w:sz w:val="20"/>
                <w:szCs w:val="20"/>
              </w:rPr>
            </w:pPr>
            <w:r>
              <w:rPr>
                <w:position w:val="-10"/>
              </w:rPr>
              <w:object>
                <v:shape id="_x0000_i1081" o:spt="75" type="#_x0000_t75" style="height:15.05pt;width:13.4pt;" o:ole="t" filled="f" o:preferrelative="t" stroked="f" coordsize="21600,21600">
                  <v:path/>
                  <v:fill on="f" focussize="0,0"/>
                  <v:stroke on="f" joinstyle="miter"/>
                  <v:imagedata r:id="rId133" o:title=""/>
                  <o:lock v:ext="edit" aspectratio="f"/>
                  <w10:wrap type="none"/>
                  <w10:anchorlock/>
                </v:shape>
                <o:OLEObject Type="Embed" ProgID="Equation.DSMT4" ShapeID="_x0000_i1081" DrawAspect="Content" ObjectID="_1468075781" r:id="rId132">
                  <o:LockedField>false</o:LockedField>
                </o:OLEObject>
              </w:objec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rPr>
              <w:t>钢板组合剪力墙翼缘墙肢宽度；</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rPr>
                <w:sz w:val="20"/>
                <w:szCs w:val="20"/>
              </w:rPr>
            </w:pPr>
            <w:r>
              <w:rPr>
                <w:position w:val="-10"/>
              </w:rPr>
              <w:object>
                <v:shape id="_x0000_i1082" o:spt="75" type="#_x0000_t75" style="height:15.05pt;width:16.75pt;" o:ole="t" filled="f" o:preferrelative="t" stroked="f" coordsize="21600,21600">
                  <v:path/>
                  <v:fill on="f" focussize="0,0"/>
                  <v:stroke on="f" joinstyle="miter"/>
                  <v:imagedata r:id="rId135" o:title=""/>
                  <o:lock v:ext="edit" aspectratio="f"/>
                  <w10:wrap type="none"/>
                  <w10:anchorlock/>
                </v:shape>
                <o:OLEObject Type="Embed" ProgID="Equation.DSMT4" ShapeID="_x0000_i1082" DrawAspect="Content" ObjectID="_1468075782" r:id="rId134">
                  <o:LockedField>false</o:LockedField>
                </o:OLEObject>
              </w:objec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rPr>
              <w:t>钢板组合剪力墙腹板墙肢宽度；</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rPr>
                <w:i/>
                <w:sz w:val="20"/>
                <w:szCs w:val="20"/>
              </w:rPr>
            </w:pPr>
            <w:r>
              <w:rPr>
                <w:position w:val="-10"/>
              </w:rPr>
              <w:object>
                <v:shape id="_x0000_i1083" o:spt="75" type="#_x0000_t75" style="height:15.05pt;width:10.9pt;" o:ole="t" filled="f" o:preferrelative="t" stroked="f" coordsize="21600,21600">
                  <v:path/>
                  <v:fill on="f" focussize="0,0"/>
                  <v:stroke on="f" joinstyle="miter"/>
                  <v:imagedata r:id="rId137" o:title=""/>
                  <o:lock v:ext="edit" aspectratio="f"/>
                  <w10:wrap type="none"/>
                  <w10:anchorlock/>
                </v:shape>
                <o:OLEObject Type="Embed" ProgID="Equation.DSMT4" ShapeID="_x0000_i1083" DrawAspect="Content" ObjectID="_1468075783" r:id="rId136">
                  <o:LockedField>false</o:LockedField>
                </o:OLEObject>
              </w:objec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rPr>
              <w:t>钢板组合剪力墙翼缘墙肢和腹板墙肢厚度；</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rPr>
                <w:i/>
                <w:sz w:val="20"/>
                <w:szCs w:val="20"/>
              </w:rPr>
            </w:pPr>
            <w:r>
              <w:rPr>
                <w:i/>
                <w:iCs/>
                <w:sz w:val="20"/>
                <w:szCs w:val="20"/>
              </w:rPr>
              <w:t>h</w:t>
            </w:r>
          </w:p>
        </w:tc>
        <w:tc>
          <w:tcPr>
            <w:tcW w:w="708" w:type="dxa"/>
          </w:tcPr>
          <w:p>
            <w:pPr>
              <w:spacing w:line="440" w:lineRule="exact"/>
              <w:ind w:firstLine="0" w:firstLineChars="0"/>
              <w:jc w:val="both"/>
            </w:pPr>
            <w:r>
              <w:t>——</w:t>
            </w:r>
          </w:p>
        </w:tc>
        <w:tc>
          <w:tcPr>
            <w:tcW w:w="6147" w:type="dxa"/>
          </w:tcPr>
          <w:p>
            <w:pPr>
              <w:spacing w:line="440" w:lineRule="exact"/>
              <w:ind w:firstLine="0" w:firstLineChars="0"/>
            </w:pPr>
            <w:r>
              <w:rPr>
                <w:rFonts w:hint="eastAsia"/>
              </w:rPr>
              <w:t>钢板组合剪力墙塑性中和轴高度；</w:t>
            </w:r>
          </w:p>
        </w:tc>
      </w:tr>
      <w:tr>
        <w:tblPrEx>
          <w:tblCellMar>
            <w:top w:w="0" w:type="dxa"/>
            <w:left w:w="108" w:type="dxa"/>
            <w:bottom w:w="0" w:type="dxa"/>
            <w:right w:w="108" w:type="dxa"/>
          </w:tblCellMar>
        </w:tblPrEx>
        <w:tc>
          <w:tcPr>
            <w:tcW w:w="851" w:type="dxa"/>
          </w:tcPr>
          <w:p>
            <w:pPr>
              <w:spacing w:line="440" w:lineRule="exact"/>
            </w:pPr>
          </w:p>
        </w:tc>
        <w:tc>
          <w:tcPr>
            <w:tcW w:w="709" w:type="dxa"/>
          </w:tcPr>
          <w:p>
            <w:pPr>
              <w:spacing w:line="440" w:lineRule="exact"/>
              <w:ind w:firstLine="0" w:firstLineChars="0"/>
              <w:rPr>
                <w:i/>
                <w:sz w:val="20"/>
                <w:szCs w:val="20"/>
              </w:rPr>
            </w:pPr>
            <w:r>
              <w:rPr>
                <w:rFonts w:hint="eastAsia"/>
                <w:i/>
                <w:iCs/>
                <w:sz w:val="20"/>
                <w:szCs w:val="20"/>
              </w:rPr>
              <w:t>t</w:t>
            </w:r>
          </w:p>
        </w:tc>
        <w:tc>
          <w:tcPr>
            <w:tcW w:w="708" w:type="dxa"/>
          </w:tcPr>
          <w:p>
            <w:pPr>
              <w:spacing w:line="440" w:lineRule="exact"/>
              <w:ind w:firstLine="0" w:firstLineChars="0"/>
              <w:jc w:val="both"/>
            </w:pPr>
            <w:r>
              <w:t>——</w:t>
            </w:r>
          </w:p>
        </w:tc>
        <w:tc>
          <w:tcPr>
            <w:tcW w:w="6147" w:type="dxa"/>
          </w:tcPr>
          <w:p>
            <w:pPr>
              <w:spacing w:line="440" w:lineRule="exact"/>
              <w:ind w:firstLine="0" w:firstLineChars="0"/>
              <w:rPr>
                <w:rFonts w:eastAsiaTheme="minorEastAsia"/>
              </w:rPr>
            </w:pPr>
            <w:r>
              <w:rPr>
                <w:rFonts w:hint="eastAsia"/>
              </w:rPr>
              <w:t>钢板组合剪力墙中钢板厚度。</w:t>
            </w:r>
          </w:p>
        </w:tc>
      </w:tr>
    </w:tbl>
    <w:p>
      <w:pPr>
        <w:spacing w:line="240" w:lineRule="auto"/>
        <w:jc w:val="both"/>
      </w:pPr>
      <w:r>
        <w:drawing>
          <wp:inline distT="0" distB="0" distL="114300" distR="114300">
            <wp:extent cx="4828540" cy="1985010"/>
            <wp:effectExtent l="0" t="0" r="10160" b="15240"/>
            <wp:docPr id="28" name="图片 28" descr="1627267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27267175(1)"/>
                    <pic:cNvPicPr>
                      <a:picLocks noChangeAspect="1"/>
                    </pic:cNvPicPr>
                  </pic:nvPicPr>
                  <pic:blipFill>
                    <a:blip r:embed="rId138"/>
                    <a:stretch>
                      <a:fillRect/>
                    </a:stretch>
                  </pic:blipFill>
                  <pic:spPr>
                    <a:xfrm>
                      <a:off x="0" y="0"/>
                      <a:ext cx="4828540" cy="1985010"/>
                    </a:xfrm>
                    <a:prstGeom prst="rect">
                      <a:avLst/>
                    </a:prstGeom>
                  </pic:spPr>
                </pic:pic>
              </a:graphicData>
            </a:graphic>
          </wp:inline>
        </w:drawing>
      </w:r>
    </w:p>
    <w:p>
      <w:pPr>
        <w:pStyle w:val="88"/>
        <w:ind w:firstLine="1260" w:firstLineChars="700"/>
        <w:jc w:val="left"/>
        <w:rPr>
          <w:szCs w:val="18"/>
        </w:rPr>
      </w:pPr>
      <w:r>
        <w:rPr>
          <w:szCs w:val="18"/>
        </w:rPr>
        <w:t>（a）截面中和轴及拉应力分布        （b）钢板应力简化  （c）混凝土应力简化</w:t>
      </w:r>
    </w:p>
    <w:p>
      <w:pPr>
        <w:pStyle w:val="80"/>
        <w:ind w:firstLine="361"/>
        <w:rPr>
          <w:b/>
          <w:bCs/>
        </w:rPr>
      </w:pPr>
      <w:r>
        <w:rPr>
          <w:rFonts w:hint="eastAsia"/>
          <w:b/>
          <w:bCs/>
        </w:rPr>
        <w:t>图5.7.3-1 翼缘墙肢受压时截面应力分布简化模型</w:t>
      </w:r>
    </w:p>
    <w:p>
      <w:pPr>
        <w:pStyle w:val="88"/>
        <w:ind w:firstLine="360"/>
      </w:pPr>
      <w:r>
        <w:t>1-截面中和轴；2-忽略中和轴附近钢板的承载力；3-忽略中和轴附近混凝土的承载力</w:t>
      </w:r>
    </w:p>
    <w:p>
      <w:pPr>
        <w:ind w:firstLine="316" w:firstLineChars="150"/>
      </w:pPr>
      <w:r>
        <w:rPr>
          <w:rFonts w:hint="eastAsia"/>
          <w:b/>
          <w:bCs/>
        </w:rPr>
        <w:t>2</w:t>
      </w:r>
      <w:r>
        <w:rPr>
          <w:rFonts w:hint="eastAsia"/>
        </w:rPr>
        <w:t xml:space="preserve"> 开孔钢板组合剪力墙翼缘墙肢受拉时，塑性中和轴高度一般位于截面腹板墙肢内（图5.7.3-2），抗弯承载力设计值按下式计算：</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7"/>
        <w:gridCol w:w="5746"/>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240" w:lineRule="auto"/>
              <w:ind w:firstLine="360"/>
              <w:jc w:val="center"/>
            </w:pPr>
          </w:p>
        </w:tc>
        <w:tc>
          <w:tcPr>
            <w:tcW w:w="5746" w:type="dxa"/>
            <w:vAlign w:val="center"/>
          </w:tcPr>
          <w:p>
            <w:pPr>
              <w:spacing w:line="240" w:lineRule="auto"/>
              <w:ind w:firstLine="0" w:firstLineChars="0"/>
              <w:jc w:val="center"/>
            </w:pPr>
            <w:r>
              <w:rPr>
                <w:position w:val="-42"/>
                <w:sz w:val="21"/>
                <w:szCs w:val="21"/>
              </w:rPr>
              <w:object>
                <v:shape id="_x0000_i1084" o:spt="75" type="#_x0000_t75" style="height:43.55pt;width:91.25pt;" o:ole="t" filled="f" o:preferrelative="t" stroked="f" coordsize="21600,21600">
                  <v:path/>
                  <v:fill on="f" focussize="0,0"/>
                  <v:stroke on="f" joinstyle="miter"/>
                  <v:imagedata r:id="rId140" o:title=""/>
                  <o:lock v:ext="edit" aspectratio="t"/>
                  <w10:wrap type="none"/>
                  <w10:anchorlock/>
                </v:shape>
                <o:OLEObject Type="Embed" ProgID="Equation.DSMT4" ShapeID="_x0000_i1084" DrawAspect="Content" ObjectID="_1468075784" r:id="rId139">
                  <o:LockedField>false</o:LockedField>
                </o:OLEObject>
              </w:object>
            </w:r>
          </w:p>
        </w:tc>
        <w:tc>
          <w:tcPr>
            <w:tcW w:w="1439" w:type="dxa"/>
            <w:vAlign w:val="center"/>
          </w:tcPr>
          <w:p>
            <w:pPr>
              <w:spacing w:line="240" w:lineRule="auto"/>
              <w:ind w:firstLine="0" w:firstLineChars="0"/>
              <w:jc w:val="center"/>
            </w:pPr>
            <w:r>
              <w:rPr>
                <w:rFonts w:hint="eastAsia"/>
              </w:rPr>
              <w:t>（</w:t>
            </w:r>
            <w:r>
              <w:t>5.7.3-</w:t>
            </w:r>
            <w:r>
              <w:rPr>
                <w:rFonts w:hint="eastAsi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440" w:lineRule="exact"/>
              <w:ind w:firstLine="360"/>
              <w:jc w:val="center"/>
            </w:pPr>
          </w:p>
        </w:tc>
        <w:tc>
          <w:tcPr>
            <w:tcW w:w="5746" w:type="dxa"/>
            <w:vAlign w:val="center"/>
          </w:tcPr>
          <w:p>
            <w:pPr>
              <w:spacing w:line="440" w:lineRule="exact"/>
              <w:ind w:firstLine="0" w:firstLineChars="0"/>
              <w:jc w:val="center"/>
              <w:rPr>
                <w:position w:val="-10"/>
              </w:rPr>
            </w:pPr>
            <w:r>
              <w:rPr>
                <w:position w:val="-10"/>
                <w:sz w:val="21"/>
                <w:szCs w:val="21"/>
              </w:rPr>
              <w:object>
                <v:shape id="_x0000_i1085" o:spt="75" type="#_x0000_t75" style="height:15.05pt;width:98.8pt;" o:ole="t" filled="f" o:preferrelative="t" stroked="f" coordsize="21600,21600">
                  <v:path/>
                  <v:fill on="f" focussize="0,0"/>
                  <v:stroke on="f" joinstyle="miter"/>
                  <v:imagedata r:id="rId142" o:title=""/>
                  <o:lock v:ext="edit" aspectratio="f"/>
                  <w10:wrap type="none"/>
                  <w10:anchorlock/>
                </v:shape>
                <o:OLEObject Type="Embed" ProgID="Equation.DSMT4" ShapeID="_x0000_i1085" DrawAspect="Content" ObjectID="_1468075785" r:id="rId141">
                  <o:LockedField>false</o:LockedField>
                </o:OLEObject>
              </w:object>
            </w:r>
          </w:p>
        </w:tc>
        <w:tc>
          <w:tcPr>
            <w:tcW w:w="1439" w:type="dxa"/>
            <w:vAlign w:val="center"/>
          </w:tcPr>
          <w:p>
            <w:pPr>
              <w:spacing w:line="440" w:lineRule="exact"/>
              <w:ind w:firstLine="0" w:firstLineChars="0"/>
              <w:jc w:val="center"/>
            </w:pPr>
            <w:r>
              <w:rPr>
                <w:rFonts w:hint="eastAsia"/>
              </w:rPr>
              <w:t>（</w:t>
            </w:r>
            <w:r>
              <w:t>5.7.3-</w:t>
            </w:r>
            <w:r>
              <w:rPr>
                <w:rFonts w:hint="eastAsi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440" w:lineRule="exact"/>
              <w:ind w:firstLine="360"/>
              <w:jc w:val="center"/>
            </w:pPr>
          </w:p>
        </w:tc>
        <w:tc>
          <w:tcPr>
            <w:tcW w:w="5746" w:type="dxa"/>
            <w:vAlign w:val="center"/>
          </w:tcPr>
          <w:p>
            <w:pPr>
              <w:spacing w:line="440" w:lineRule="exact"/>
              <w:ind w:firstLine="0" w:firstLineChars="0"/>
              <w:jc w:val="center"/>
              <w:rPr>
                <w:position w:val="-10"/>
              </w:rPr>
            </w:pPr>
            <w:r>
              <w:rPr>
                <w:position w:val="-10"/>
                <w:sz w:val="21"/>
                <w:szCs w:val="21"/>
              </w:rPr>
              <w:object>
                <v:shape id="_x0000_i1086" o:spt="75" type="#_x0000_t75" style="height:15.05pt;width:87.05pt;" o:ole="t" filled="f" o:preferrelative="t" stroked="f" coordsize="21600,21600">
                  <v:path/>
                  <v:fill on="f" focussize="0,0"/>
                  <v:stroke on="f" joinstyle="miter"/>
                  <v:imagedata r:id="rId144" o:title=""/>
                  <o:lock v:ext="edit" aspectratio="f"/>
                  <w10:wrap type="none"/>
                  <w10:anchorlock/>
                </v:shape>
                <o:OLEObject Type="Embed" ProgID="Equation.DSMT4" ShapeID="_x0000_i1086" DrawAspect="Content" ObjectID="_1468075786" r:id="rId143">
                  <o:LockedField>false</o:LockedField>
                </o:OLEObject>
              </w:object>
            </w:r>
          </w:p>
        </w:tc>
        <w:tc>
          <w:tcPr>
            <w:tcW w:w="1439" w:type="dxa"/>
            <w:vAlign w:val="center"/>
          </w:tcPr>
          <w:p>
            <w:pPr>
              <w:spacing w:line="440" w:lineRule="exact"/>
              <w:ind w:firstLine="0" w:firstLineChars="0"/>
              <w:jc w:val="center"/>
            </w:pPr>
            <w:r>
              <w:rPr>
                <w:rFonts w:hint="eastAsia"/>
              </w:rPr>
              <w:t>（</w:t>
            </w:r>
            <w:r>
              <w:t>5.7.3-</w:t>
            </w:r>
            <w:r>
              <w:rPr>
                <w:rFonts w:hint="eastAsi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440" w:lineRule="exact"/>
              <w:ind w:firstLine="360"/>
              <w:jc w:val="center"/>
            </w:pPr>
          </w:p>
        </w:tc>
        <w:tc>
          <w:tcPr>
            <w:tcW w:w="5746" w:type="dxa"/>
            <w:vAlign w:val="center"/>
          </w:tcPr>
          <w:p>
            <w:pPr>
              <w:spacing w:line="440" w:lineRule="exact"/>
              <w:ind w:firstLine="0" w:firstLineChars="0"/>
              <w:jc w:val="center"/>
              <w:rPr>
                <w:position w:val="-10"/>
              </w:rPr>
            </w:pPr>
            <w:r>
              <w:rPr>
                <w:position w:val="-10"/>
                <w:sz w:val="21"/>
                <w:szCs w:val="21"/>
              </w:rPr>
              <w:object>
                <v:shape id="_x0000_i1087" o:spt="75" type="#_x0000_t75" style="height:15.05pt;width:152.35pt;" o:ole="t" filled="f" o:preferrelative="t" stroked="f" coordsize="21600,21600">
                  <v:path/>
                  <v:fill on="f" focussize="0,0"/>
                  <v:stroke on="f" joinstyle="miter"/>
                  <v:imagedata r:id="rId146" o:title=""/>
                  <o:lock v:ext="edit" aspectratio="f"/>
                  <w10:wrap type="none"/>
                  <w10:anchorlock/>
                </v:shape>
                <o:OLEObject Type="Embed" ProgID="Equation.DSMT4" ShapeID="_x0000_i1087" DrawAspect="Content" ObjectID="_1468075787" r:id="rId145">
                  <o:LockedField>false</o:LockedField>
                </o:OLEObject>
              </w:object>
            </w:r>
          </w:p>
        </w:tc>
        <w:tc>
          <w:tcPr>
            <w:tcW w:w="1439" w:type="dxa"/>
            <w:vAlign w:val="center"/>
          </w:tcPr>
          <w:p>
            <w:pPr>
              <w:spacing w:line="440" w:lineRule="exact"/>
              <w:ind w:firstLine="0" w:firstLineChars="0"/>
              <w:jc w:val="center"/>
            </w:pPr>
            <w:r>
              <w:rPr>
                <w:rFonts w:hint="eastAsia"/>
              </w:rPr>
              <w:t>（</w:t>
            </w:r>
            <w:r>
              <w:t>5.7.3-</w:t>
            </w:r>
            <w:r>
              <w:rPr>
                <w:rFonts w:hint="eastAsi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440" w:lineRule="exact"/>
              <w:ind w:firstLine="360"/>
              <w:jc w:val="center"/>
            </w:pPr>
          </w:p>
        </w:tc>
        <w:tc>
          <w:tcPr>
            <w:tcW w:w="5746" w:type="dxa"/>
            <w:vAlign w:val="center"/>
          </w:tcPr>
          <w:p>
            <w:pPr>
              <w:spacing w:line="440" w:lineRule="exact"/>
              <w:ind w:firstLine="0" w:firstLineChars="0"/>
              <w:jc w:val="center"/>
              <w:rPr>
                <w:position w:val="-14"/>
              </w:rPr>
            </w:pPr>
            <w:r>
              <w:rPr>
                <w:position w:val="-10"/>
                <w:sz w:val="21"/>
                <w:szCs w:val="21"/>
              </w:rPr>
              <w:object>
                <v:shape id="_x0000_i1088" o:spt="75" type="#_x0000_t75" style="height:15.9pt;width:89.6pt;" o:ole="t" filled="f" o:preferrelative="t" stroked="f" coordsize="21600,21600">
                  <v:path/>
                  <v:fill on="f" focussize="0,0"/>
                  <v:stroke on="f" joinstyle="miter"/>
                  <v:imagedata r:id="rId148" o:title=""/>
                  <o:lock v:ext="edit" aspectratio="f"/>
                  <w10:wrap type="none"/>
                  <w10:anchorlock/>
                </v:shape>
                <o:OLEObject Type="Embed" ProgID="Equation.DSMT4" ShapeID="_x0000_i1088" DrawAspect="Content" ObjectID="_1468075788" r:id="rId147">
                  <o:LockedField>false</o:LockedField>
                </o:OLEObject>
              </w:object>
            </w:r>
          </w:p>
        </w:tc>
        <w:tc>
          <w:tcPr>
            <w:tcW w:w="1439" w:type="dxa"/>
            <w:vAlign w:val="center"/>
          </w:tcPr>
          <w:p>
            <w:pPr>
              <w:spacing w:line="440" w:lineRule="exact"/>
              <w:ind w:firstLine="0" w:firstLineChars="0"/>
              <w:jc w:val="center"/>
            </w:pPr>
            <w:r>
              <w:rPr>
                <w:rFonts w:hint="eastAsia"/>
              </w:rPr>
              <w:t>（</w:t>
            </w:r>
            <w:r>
              <w:t>5.7.3-</w:t>
            </w:r>
            <w:r>
              <w:rPr>
                <w:rFonts w:hint="eastAsi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vAlign w:val="center"/>
          </w:tcPr>
          <w:p>
            <w:pPr>
              <w:spacing w:line="440" w:lineRule="exact"/>
              <w:ind w:firstLine="360"/>
              <w:jc w:val="center"/>
            </w:pPr>
          </w:p>
        </w:tc>
        <w:tc>
          <w:tcPr>
            <w:tcW w:w="5746" w:type="dxa"/>
            <w:vAlign w:val="center"/>
          </w:tcPr>
          <w:p>
            <w:pPr>
              <w:spacing w:line="440" w:lineRule="exact"/>
              <w:ind w:firstLine="0" w:firstLineChars="0"/>
              <w:jc w:val="center"/>
              <w:rPr>
                <w:position w:val="-14"/>
              </w:rPr>
            </w:pPr>
            <w:r>
              <w:rPr>
                <w:position w:val="-10"/>
                <w:sz w:val="21"/>
                <w:szCs w:val="21"/>
              </w:rPr>
              <w:object>
                <v:shape id="_x0000_i1089" o:spt="75" type="#_x0000_t75" style="height:15.05pt;width:156.55pt;" o:ole="t" filled="f" o:preferrelative="t" stroked="f" coordsize="21600,21600">
                  <v:path/>
                  <v:fill on="f" focussize="0,0"/>
                  <v:stroke on="f" joinstyle="miter"/>
                  <v:imagedata r:id="rId150" o:title=""/>
                  <o:lock v:ext="edit" aspectratio="f"/>
                  <w10:wrap type="none"/>
                  <w10:anchorlock/>
                </v:shape>
                <o:OLEObject Type="Embed" ProgID="Equation.DSMT4" ShapeID="_x0000_i1089" DrawAspect="Content" ObjectID="_1468075789" r:id="rId149">
                  <o:LockedField>false</o:LockedField>
                </o:OLEObject>
              </w:object>
            </w:r>
          </w:p>
        </w:tc>
        <w:tc>
          <w:tcPr>
            <w:tcW w:w="1439" w:type="dxa"/>
            <w:vAlign w:val="center"/>
          </w:tcPr>
          <w:p>
            <w:pPr>
              <w:spacing w:line="440" w:lineRule="exact"/>
              <w:ind w:firstLine="0" w:firstLineChars="0"/>
              <w:jc w:val="center"/>
            </w:pPr>
            <w:r>
              <w:rPr>
                <w:rFonts w:hint="eastAsia"/>
              </w:rPr>
              <w:t>（</w:t>
            </w:r>
            <w:r>
              <w:t>5.7.3-</w:t>
            </w:r>
            <w:r>
              <w:rPr>
                <w:rFonts w:hint="eastAsia"/>
              </w:rPr>
              <w:t>12）</w:t>
            </w:r>
          </w:p>
        </w:tc>
      </w:tr>
    </w:tbl>
    <w:p>
      <w:pPr>
        <w:spacing w:line="240" w:lineRule="auto"/>
        <w:ind w:firstLine="0" w:firstLineChars="0"/>
      </w:pPr>
      <w:r>
        <w:drawing>
          <wp:inline distT="0" distB="0" distL="114300" distR="114300">
            <wp:extent cx="5397500" cy="2266315"/>
            <wp:effectExtent l="0" t="0" r="12700" b="635"/>
            <wp:docPr id="1" name="图片 29" descr="1627267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1627267787(1)"/>
                    <pic:cNvPicPr>
                      <a:picLocks noChangeAspect="1"/>
                    </pic:cNvPicPr>
                  </pic:nvPicPr>
                  <pic:blipFill>
                    <a:blip r:embed="rId151"/>
                    <a:stretch>
                      <a:fillRect/>
                    </a:stretch>
                  </pic:blipFill>
                  <pic:spPr>
                    <a:xfrm>
                      <a:off x="0" y="0"/>
                      <a:ext cx="5397500" cy="2266315"/>
                    </a:xfrm>
                    <a:prstGeom prst="rect">
                      <a:avLst/>
                    </a:prstGeom>
                  </pic:spPr>
                </pic:pic>
              </a:graphicData>
            </a:graphic>
          </wp:inline>
        </w:drawing>
      </w:r>
    </w:p>
    <w:p>
      <w:pPr>
        <w:pStyle w:val="88"/>
        <w:ind w:firstLine="1260" w:firstLineChars="700"/>
        <w:jc w:val="left"/>
        <w:rPr>
          <w:szCs w:val="18"/>
        </w:rPr>
      </w:pPr>
      <w:r>
        <w:rPr>
          <w:rFonts w:hint="eastAsia"/>
          <w:szCs w:val="18"/>
        </w:rPr>
        <w:t>（a）截面中和轴及拉应力分布          （b）钢板应力简化    （c）混凝土应力简化</w:t>
      </w:r>
    </w:p>
    <w:p>
      <w:pPr>
        <w:pStyle w:val="80"/>
        <w:ind w:firstLine="361"/>
        <w:rPr>
          <w:b/>
          <w:bCs/>
        </w:rPr>
      </w:pPr>
      <w:r>
        <w:rPr>
          <w:rFonts w:hint="eastAsia"/>
          <w:b/>
          <w:bCs/>
        </w:rPr>
        <w:t>图5.7.3-2 翼缘墙肢受拉时截面应力分布简化模型</w:t>
      </w:r>
    </w:p>
    <w:p>
      <w:pPr>
        <w:pStyle w:val="88"/>
        <w:ind w:firstLine="0" w:firstLineChars="0"/>
        <w:rPr>
          <w:szCs w:val="18"/>
        </w:rPr>
      </w:pPr>
      <w:r>
        <w:rPr>
          <w:rFonts w:hint="eastAsia"/>
          <w:szCs w:val="18"/>
        </w:rPr>
        <w:t>1-截面中和轴；2-忽略中和轴附近钢板的承载力</w:t>
      </w:r>
    </w:p>
    <w:p>
      <w:pPr>
        <w:pStyle w:val="74"/>
        <w:ind w:firstLine="400"/>
      </w:pPr>
      <w:r>
        <w:rPr>
          <w:rFonts w:hint="eastAsia"/>
        </w:rPr>
        <w:t>【条文说明】现行美国规范《Specification for Structural Steel Buildings》ANSI/AISC360在计算组合构件的压弯承载力时，给出了两种计算方法，一种是全截面塑性方法，另一种是应变协调法（类似于现行国家标准《混凝土结构设计规范》GB 50010中钢筋混凝土构件的正截面承载力计算方法）。现行欧洲规范《Eurocode 4: Design of Composite Steel and Concrete Structures-Part 1-1 : General Rules and Rules for Buildings》BS EN 1994-1-1: 2004在计算组合构件的压弯承载力时，采用的都是全截面塑性方法。这里不采用应变协调法的原因有下列几点：①用应变协调法很难给出显式计算公式，计算非常复杂；②由于钢板对混凝土的约束作用，混凝土的变形能力远高于现行国家标准《混凝土结构设计规程》GB 50010规定的极限压应变0.0038；③钢板对组合剪力墙的承载力贡献很大，如果采用混凝土的极限应变来控制截面的受弯承载力，过于保守。</w:t>
      </w:r>
    </w:p>
    <w:p>
      <w:pPr>
        <w:pStyle w:val="4"/>
        <w:ind w:left="0"/>
      </w:pPr>
      <w:r>
        <w:rPr>
          <w:rFonts w:hint="eastAsia"/>
        </w:rPr>
        <w:t>压-弯复合作用承载力设计值按下列公式计算：</w:t>
      </w:r>
    </w:p>
    <w:tbl>
      <w:tblPr>
        <w:tblStyle w:val="44"/>
        <w:tblpPr w:leftFromText="180" w:rightFromText="180" w:vertAnchor="text" w:horzAnchor="page" w:tblpX="1801" w:tblpY="3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7"/>
        <w:gridCol w:w="5950"/>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vAlign w:val="center"/>
          </w:tcPr>
          <w:p>
            <w:pPr>
              <w:spacing w:line="240" w:lineRule="auto"/>
              <w:ind w:firstLine="360"/>
              <w:jc w:val="center"/>
            </w:pPr>
          </w:p>
        </w:tc>
        <w:tc>
          <w:tcPr>
            <w:tcW w:w="5950" w:type="dxa"/>
            <w:tcBorders>
              <w:tl2br w:val="nil"/>
              <w:tr2bl w:val="nil"/>
            </w:tcBorders>
            <w:vAlign w:val="center"/>
          </w:tcPr>
          <w:p>
            <w:pPr>
              <w:spacing w:line="240" w:lineRule="auto"/>
              <w:ind w:firstLine="0" w:firstLineChars="0"/>
              <w:jc w:val="center"/>
              <w:rPr>
                <w:position w:val="-26"/>
              </w:rPr>
            </w:pPr>
            <w:r>
              <w:rPr>
                <w:rFonts w:hint="eastAsia" w:ascii="宋体" w:hAnsi="宋体" w:cs="宋体"/>
              </w:rPr>
              <w:t>当</w:t>
            </w:r>
            <w:r>
              <w:rPr>
                <w:position w:val="-10"/>
                <w:sz w:val="21"/>
                <w:szCs w:val="21"/>
              </w:rPr>
              <w:object>
                <v:shape id="_x0000_i1090" o:spt="75" type="#_x0000_t75" style="height:15.05pt;width:32.65pt;" o:ole="t" filled="f" o:preferrelative="t" stroked="f" coordsize="21600,21600">
                  <v:path/>
                  <v:fill on="f" focussize="0,0"/>
                  <v:stroke on="f" joinstyle="miter"/>
                  <v:imagedata r:id="rId153" o:title=""/>
                  <o:lock v:ext="edit" aspectratio="f"/>
                  <w10:wrap type="none"/>
                  <w10:anchorlock/>
                </v:shape>
                <o:OLEObject Type="Embed" ProgID="Equation.DSMT4" ShapeID="_x0000_i1090" DrawAspect="Content" ObjectID="_1468075790" r:id="rId152">
                  <o:LockedField>false</o:LockedField>
                </o:OLEObject>
              </w:object>
            </w:r>
            <w:r>
              <w:rPr>
                <w:rFonts w:hint="eastAsia"/>
                <w:position w:val="-10"/>
              </w:rPr>
              <w:t>，</w:t>
            </w:r>
            <w:r>
              <w:rPr>
                <w:position w:val="-26"/>
                <w:sz w:val="21"/>
                <w:szCs w:val="21"/>
              </w:rPr>
              <w:object>
                <v:shape id="_x0000_i1091" o:spt="75" type="#_x0000_t75" style="height:30.15pt;width:75.35pt;" o:ole="t" filled="f" o:preferrelative="t" stroked="f" coordsize="21600,21600">
                  <v:path/>
                  <v:fill on="f" focussize="0,0"/>
                  <v:stroke on="f" joinstyle="miter"/>
                  <v:imagedata r:id="rId155" o:title=""/>
                  <o:lock v:ext="edit" aspectratio="f"/>
                  <w10:wrap type="none"/>
                  <w10:anchorlock/>
                </v:shape>
                <o:OLEObject Type="Embed" ProgID="Equation.DSMT4" ShapeID="_x0000_i1091" DrawAspect="Content" ObjectID="_1468075791" r:id="rId154">
                  <o:LockedField>false</o:LockedField>
                </o:OLEObject>
              </w:object>
            </w:r>
          </w:p>
        </w:tc>
        <w:tc>
          <w:tcPr>
            <w:tcW w:w="1235" w:type="dxa"/>
            <w:tcBorders>
              <w:tl2br w:val="nil"/>
              <w:tr2bl w:val="nil"/>
            </w:tcBorders>
            <w:vAlign w:val="center"/>
          </w:tcPr>
          <w:p>
            <w:pPr>
              <w:spacing w:line="240" w:lineRule="auto"/>
              <w:ind w:firstLine="0" w:firstLineChars="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vAlign w:val="center"/>
          </w:tcPr>
          <w:p>
            <w:pPr>
              <w:spacing w:line="240" w:lineRule="auto"/>
              <w:ind w:firstLine="360"/>
              <w:jc w:val="center"/>
            </w:pPr>
          </w:p>
        </w:tc>
        <w:tc>
          <w:tcPr>
            <w:tcW w:w="5950" w:type="dxa"/>
            <w:tcBorders>
              <w:tl2br w:val="nil"/>
              <w:tr2bl w:val="nil"/>
            </w:tcBorders>
            <w:vAlign w:val="center"/>
          </w:tcPr>
          <w:p>
            <w:pPr>
              <w:spacing w:line="240" w:lineRule="auto"/>
              <w:jc w:val="center"/>
              <w:rPr>
                <w:position w:val="-26"/>
              </w:rPr>
            </w:pPr>
            <w:r>
              <w:rPr>
                <w:rFonts w:hint="eastAsia"/>
                <w:sz w:val="21"/>
                <w:szCs w:val="21"/>
              </w:rPr>
              <w:t>当</w:t>
            </w:r>
            <w:r>
              <w:rPr>
                <w:position w:val="-10"/>
                <w:sz w:val="21"/>
                <w:szCs w:val="21"/>
              </w:rPr>
              <w:object>
                <v:shape id="_x0000_i1092" o:spt="75" type="#_x0000_t75" style="height:15.05pt;width:54.4pt;" o:ole="t" filled="f" o:preferrelative="t" stroked="f" coordsize="21600,21600">
                  <v:path/>
                  <v:fill on="f" focussize="0,0"/>
                  <v:stroke on="f" joinstyle="miter"/>
                  <v:imagedata r:id="rId157" o:title=""/>
                  <o:lock v:ext="edit" aspectratio="f"/>
                  <w10:wrap type="none"/>
                  <w10:anchorlock/>
                </v:shape>
                <o:OLEObject Type="Embed" ProgID="Equation.DSMT4" ShapeID="_x0000_i1092" DrawAspect="Content" ObjectID="_1468075792" r:id="rId156">
                  <o:LockedField>false</o:LockedField>
                </o:OLEObject>
              </w:object>
            </w:r>
            <w:r>
              <w:rPr>
                <w:rFonts w:hint="eastAsia"/>
                <w:position w:val="-10"/>
              </w:rPr>
              <w:t>，</w:t>
            </w:r>
            <w:r>
              <w:rPr>
                <w:position w:val="-26"/>
                <w:sz w:val="21"/>
                <w:szCs w:val="21"/>
              </w:rPr>
              <w:object>
                <v:shape id="_x0000_i1093" o:spt="75" type="#_x0000_t75" style="height:30.15pt;width:97.95pt;" o:ole="t" filled="f" o:preferrelative="t" stroked="f" coordsize="21600,21600">
                  <v:path/>
                  <v:fill on="f" focussize="0,0"/>
                  <v:stroke on="f" joinstyle="miter"/>
                  <v:imagedata r:id="rId159" o:title=""/>
                  <o:lock v:ext="edit" aspectratio="f"/>
                  <w10:wrap type="none"/>
                  <w10:anchorlock/>
                </v:shape>
                <o:OLEObject Type="Embed" ProgID="Equation.DSMT4" ShapeID="_x0000_i1093" DrawAspect="Content" ObjectID="_1468075793" r:id="rId158">
                  <o:LockedField>false</o:LockedField>
                </o:OLEObject>
              </w:object>
            </w:r>
          </w:p>
        </w:tc>
        <w:tc>
          <w:tcPr>
            <w:tcW w:w="1235" w:type="dxa"/>
            <w:tcBorders>
              <w:tl2br w:val="nil"/>
              <w:tr2bl w:val="nil"/>
            </w:tcBorders>
            <w:vAlign w:val="center"/>
          </w:tcPr>
          <w:p>
            <w:pPr>
              <w:spacing w:line="240" w:lineRule="auto"/>
              <w:ind w:firstLine="0" w:firstLineChars="0"/>
              <w:jc w:val="center"/>
            </w:pPr>
            <w:r>
              <w:rPr>
                <w:rFonts w:hint="eastAsia"/>
              </w:rPr>
              <w:t>（5.7.4-1）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37" w:type="dxa"/>
            <w:tcBorders>
              <w:tl2br w:val="nil"/>
              <w:tr2bl w:val="nil"/>
            </w:tcBorders>
            <w:vAlign w:val="center"/>
          </w:tcPr>
          <w:p>
            <w:pPr>
              <w:spacing w:line="240" w:lineRule="auto"/>
              <w:ind w:firstLine="360"/>
              <w:jc w:val="center"/>
            </w:pPr>
          </w:p>
        </w:tc>
        <w:tc>
          <w:tcPr>
            <w:tcW w:w="5950" w:type="dxa"/>
            <w:tcBorders>
              <w:tl2br w:val="nil"/>
              <w:tr2bl w:val="nil"/>
            </w:tcBorders>
            <w:vAlign w:val="center"/>
          </w:tcPr>
          <w:p>
            <w:pPr>
              <w:spacing w:line="240" w:lineRule="auto"/>
              <w:ind w:firstLine="0" w:firstLineChars="0"/>
              <w:jc w:val="center"/>
              <w:rPr>
                <w:position w:val="-26"/>
              </w:rPr>
            </w:pPr>
            <w:r>
              <w:rPr>
                <w:position w:val="-10"/>
                <w:sz w:val="21"/>
                <w:szCs w:val="21"/>
              </w:rPr>
              <w:object>
                <v:shape id="_x0000_i1094" o:spt="75" type="#_x0000_t75" style="height:15.05pt;width:32.65pt;" o:ole="t" filled="f" o:preferrelative="t" stroked="f" coordsize="21600,21600">
                  <v:path/>
                  <v:fill on="f" focussize="0,0"/>
                  <v:stroke on="f" joinstyle="miter"/>
                  <v:imagedata r:id="rId161" o:title=""/>
                  <o:lock v:ext="edit" aspectratio="f"/>
                  <w10:wrap type="none"/>
                  <w10:anchorlock/>
                </v:shape>
                <o:OLEObject Type="Embed" ProgID="Equation.DSMT4" ShapeID="_x0000_i1094" DrawAspect="Content" ObjectID="_1468075794" r:id="rId160">
                  <o:LockedField>false</o:LockedField>
                </o:OLEObject>
              </w:object>
            </w:r>
            <w:r>
              <w:rPr>
                <w:rFonts w:hint="eastAsia"/>
                <w:sz w:val="24"/>
                <w:szCs w:val="24"/>
              </w:rPr>
              <w:t>，</w:t>
            </w:r>
            <w:r>
              <w:rPr>
                <w:position w:val="-26"/>
                <w:sz w:val="21"/>
                <w:szCs w:val="21"/>
              </w:rPr>
              <w:object>
                <v:shape id="_x0000_i1095" o:spt="75" type="#_x0000_t75" style="height:30.15pt;width:77pt;" o:ole="t" filled="f" o:preferrelative="t" stroked="f" coordsize="21600,21600">
                  <v:path/>
                  <v:fill on="f" focussize="0,0"/>
                  <v:stroke on="f" joinstyle="miter"/>
                  <v:imagedata r:id="rId163" o:title=""/>
                  <o:lock v:ext="edit" aspectratio="f"/>
                  <w10:wrap type="none"/>
                  <w10:anchorlock/>
                </v:shape>
                <o:OLEObject Type="Embed" ProgID="Equation.DSMT4" ShapeID="_x0000_i1095" DrawAspect="Content" ObjectID="_1468075795" r:id="rId162">
                  <o:LockedField>false</o:LockedField>
                </o:OLEObject>
              </w:object>
            </w:r>
          </w:p>
        </w:tc>
        <w:tc>
          <w:tcPr>
            <w:tcW w:w="1235" w:type="dxa"/>
            <w:tcBorders>
              <w:tl2br w:val="nil"/>
              <w:tr2bl w:val="nil"/>
            </w:tcBorders>
            <w:vAlign w:val="center"/>
          </w:tcPr>
          <w:p>
            <w:pPr>
              <w:spacing w:line="240" w:lineRule="auto"/>
              <w:ind w:firstLine="0" w:firstLineChars="0"/>
              <w:jc w:val="center"/>
            </w:pPr>
          </w:p>
        </w:tc>
      </w:tr>
    </w:tbl>
    <w:tbl>
      <w:tblPr>
        <w:tblStyle w:val="43"/>
        <w:tblW w:w="8415" w:type="dxa"/>
        <w:tblInd w:w="108" w:type="dxa"/>
        <w:tblLayout w:type="fixed"/>
        <w:tblCellMar>
          <w:top w:w="0" w:type="dxa"/>
          <w:left w:w="108" w:type="dxa"/>
          <w:bottom w:w="0" w:type="dxa"/>
          <w:right w:w="108" w:type="dxa"/>
        </w:tblCellMar>
      </w:tblPr>
      <w:tblGrid>
        <w:gridCol w:w="851"/>
        <w:gridCol w:w="567"/>
        <w:gridCol w:w="709"/>
        <w:gridCol w:w="6288"/>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567" w:type="dxa"/>
          </w:tcPr>
          <w:p>
            <w:pPr>
              <w:spacing w:line="440" w:lineRule="exact"/>
              <w:ind w:firstLine="0" w:firstLineChars="0"/>
              <w:jc w:val="right"/>
              <w:rPr>
                <w:sz w:val="20"/>
                <w:szCs w:val="20"/>
              </w:rPr>
            </w:pPr>
            <w:r>
              <w:rPr>
                <w:i/>
                <w:sz w:val="20"/>
                <w:szCs w:val="20"/>
              </w:rPr>
              <w:t>N</w:t>
            </w:r>
            <w:r>
              <w:rPr>
                <w:sz w:val="20"/>
                <w:szCs w:val="20"/>
                <w:vertAlign w:val="subscript"/>
              </w:rPr>
              <w:t>u</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开孔钢板组合剪力墙轴心受压承载力设计值；</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jc w:val="right"/>
              <w:rPr>
                <w:sz w:val="20"/>
                <w:szCs w:val="20"/>
              </w:rPr>
            </w:pPr>
            <w:r>
              <w:rPr>
                <w:i/>
                <w:sz w:val="20"/>
                <w:szCs w:val="20"/>
              </w:rPr>
              <w:t>M</w:t>
            </w:r>
            <w:r>
              <w:rPr>
                <w:sz w:val="20"/>
                <w:szCs w:val="20"/>
                <w:vertAlign w:val="subscript"/>
              </w:rPr>
              <w:t>u</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开孔钢板组合剪力墙抗弯承载力设计值；</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jc w:val="right"/>
              <w:rPr>
                <w:sz w:val="20"/>
                <w:szCs w:val="20"/>
              </w:rPr>
            </w:pPr>
            <w:r>
              <w:rPr>
                <w:i/>
                <w:sz w:val="20"/>
                <w:szCs w:val="20"/>
              </w:rPr>
              <w:t>N</w:t>
            </w:r>
            <w:r>
              <w:rPr>
                <w:sz w:val="20"/>
                <w:szCs w:val="20"/>
                <w:vertAlign w:val="subscript"/>
              </w:rPr>
              <w:t>b</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开孔钢板组合剪力墙承载力</w:t>
            </w:r>
            <w:r>
              <w:rPr>
                <w:i/>
              </w:rPr>
              <w:t>N</w:t>
            </w:r>
            <w:r>
              <w:t>-</w:t>
            </w:r>
            <w:r>
              <w:rPr>
                <w:i/>
              </w:rPr>
              <w:t>M</w:t>
            </w:r>
            <w:r>
              <w:rPr>
                <w:rFonts w:hint="eastAsia"/>
              </w:rPr>
              <w:t>相关曲线上</w:t>
            </w:r>
            <w:r>
              <w:t>B</w:t>
            </w:r>
            <w:r>
              <w:rPr>
                <w:rFonts w:hint="eastAsia"/>
              </w:rPr>
              <w:t>点的轴压承载力设计值，</w:t>
            </w:r>
            <w:r>
              <w:rPr>
                <w:i/>
              </w:rPr>
              <w:t>N</w:t>
            </w:r>
            <w:r>
              <w:rPr>
                <w:vertAlign w:val="subscript"/>
              </w:rPr>
              <w:t>b</w:t>
            </w:r>
            <w:r>
              <w:t>=2</w:t>
            </w:r>
            <w:r>
              <w:rPr>
                <w:i/>
              </w:rPr>
              <w:t>N</w:t>
            </w:r>
            <w:r>
              <w:rPr>
                <w:vertAlign w:val="subscript"/>
              </w:rPr>
              <w:t>c</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jc w:val="right"/>
              <w:rPr>
                <w:sz w:val="20"/>
                <w:szCs w:val="20"/>
              </w:rPr>
            </w:pPr>
            <w:r>
              <w:rPr>
                <w:i/>
                <w:sz w:val="20"/>
                <w:szCs w:val="20"/>
              </w:rPr>
              <w:t>M</w:t>
            </w:r>
            <w:r>
              <w:rPr>
                <w:sz w:val="20"/>
                <w:szCs w:val="20"/>
                <w:vertAlign w:val="subscript"/>
              </w:rPr>
              <w:t>b</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开孔钢板组合剪力墙承载力</w:t>
            </w:r>
            <w:r>
              <w:rPr>
                <w:i/>
              </w:rPr>
              <w:t>N</w:t>
            </w:r>
            <w:r>
              <w:t>-</w:t>
            </w:r>
            <w:r>
              <w:rPr>
                <w:i/>
              </w:rPr>
              <w:t>M</w:t>
            </w:r>
            <w:r>
              <w:rPr>
                <w:rFonts w:hint="eastAsia"/>
              </w:rPr>
              <w:t>相关曲线上</w:t>
            </w:r>
            <w:r>
              <w:t>B</w:t>
            </w:r>
            <w:r>
              <w:rPr>
                <w:rFonts w:hint="eastAsia"/>
              </w:rPr>
              <w:t>点的抗弯承载力设计值，</w:t>
            </w:r>
            <w:r>
              <w:rPr>
                <w:i/>
              </w:rPr>
              <w:t>M</w:t>
            </w:r>
            <w:r>
              <w:rPr>
                <w:vertAlign w:val="subscript"/>
              </w:rPr>
              <w:t>b</w:t>
            </w:r>
            <w:r>
              <w:t>=</w:t>
            </w:r>
            <w:r>
              <w:rPr>
                <w:i/>
              </w:rPr>
              <w:t>M</w:t>
            </w:r>
            <w:r>
              <w:rPr>
                <w:vertAlign w:val="subscript"/>
              </w:rPr>
              <w:t>u</w:t>
            </w:r>
            <w:r>
              <w:rPr>
                <w:rFonts w:hint="eastAsia"/>
              </w:rPr>
              <w:t>；</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jc w:val="right"/>
              <w:rPr>
                <w:sz w:val="20"/>
                <w:szCs w:val="20"/>
              </w:rPr>
            </w:pPr>
            <w:r>
              <w:rPr>
                <w:i/>
                <w:sz w:val="20"/>
                <w:szCs w:val="20"/>
              </w:rPr>
              <w:t>N</w:t>
            </w:r>
            <w:r>
              <w:rPr>
                <w:sz w:val="20"/>
                <w:szCs w:val="20"/>
                <w:vertAlign w:val="subscript"/>
              </w:rPr>
              <w:t>c</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开孔钢板组合剪力墙承载力</w:t>
            </w:r>
            <w:r>
              <w:rPr>
                <w:i/>
              </w:rPr>
              <w:t>N</w:t>
            </w:r>
            <w:r>
              <w:t>-</w:t>
            </w:r>
            <w:r>
              <w:rPr>
                <w:i/>
              </w:rPr>
              <w:t>M</w:t>
            </w:r>
            <w:r>
              <w:rPr>
                <w:rFonts w:hint="eastAsia"/>
              </w:rPr>
              <w:t>相关曲线上</w:t>
            </w:r>
            <w:r>
              <w:t>C</w:t>
            </w:r>
            <w:r>
              <w:rPr>
                <w:rFonts w:hint="eastAsia"/>
              </w:rPr>
              <w:t>点的轴压承载力设计值；</w:t>
            </w:r>
          </w:p>
        </w:tc>
      </w:tr>
      <w:tr>
        <w:tblPrEx>
          <w:tblCellMar>
            <w:top w:w="0" w:type="dxa"/>
            <w:left w:w="108" w:type="dxa"/>
            <w:bottom w:w="0" w:type="dxa"/>
            <w:right w:w="108" w:type="dxa"/>
          </w:tblCellMar>
        </w:tblPrEx>
        <w:tc>
          <w:tcPr>
            <w:tcW w:w="851" w:type="dxa"/>
          </w:tcPr>
          <w:p>
            <w:pPr>
              <w:spacing w:line="440" w:lineRule="exact"/>
            </w:pPr>
          </w:p>
        </w:tc>
        <w:tc>
          <w:tcPr>
            <w:tcW w:w="567" w:type="dxa"/>
          </w:tcPr>
          <w:p>
            <w:pPr>
              <w:spacing w:line="440" w:lineRule="exact"/>
              <w:ind w:firstLine="0" w:firstLineChars="0"/>
              <w:jc w:val="right"/>
              <w:rPr>
                <w:sz w:val="20"/>
                <w:szCs w:val="20"/>
              </w:rPr>
            </w:pPr>
            <w:r>
              <w:rPr>
                <w:i/>
                <w:sz w:val="20"/>
                <w:szCs w:val="20"/>
              </w:rPr>
              <w:t>M</w:t>
            </w:r>
            <w:r>
              <w:rPr>
                <w:sz w:val="20"/>
                <w:szCs w:val="20"/>
                <w:vertAlign w:val="subscript"/>
              </w:rPr>
              <w:t>c</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开孔钢板组合剪力墙承载力</w:t>
            </w:r>
            <w:r>
              <w:rPr>
                <w:i/>
              </w:rPr>
              <w:t>N</w:t>
            </w:r>
            <w:r>
              <w:t>-</w:t>
            </w:r>
            <w:r>
              <w:rPr>
                <w:i/>
              </w:rPr>
              <w:t>M</w:t>
            </w:r>
            <w:r>
              <w:rPr>
                <w:rFonts w:hint="eastAsia"/>
              </w:rPr>
              <w:t>相关曲线上</w:t>
            </w:r>
            <w:r>
              <w:t>C</w:t>
            </w:r>
            <w:r>
              <w:rPr>
                <w:rFonts w:hint="eastAsia"/>
              </w:rPr>
              <w:t>点的抗弯承载力设计值；</w:t>
            </w:r>
          </w:p>
        </w:tc>
      </w:tr>
    </w:tbl>
    <w:p>
      <w:r>
        <w:rPr>
          <w:rFonts w:hint="eastAsia"/>
        </w:rPr>
        <w:t>开孔钢板组合剪力墙翼缘墙肢受压时，塑性中和轴高度一般位于截面腹板内（图5.7.3-1），C点的抗压和抗弯承载力设计值按下列公式计算：</w:t>
      </w:r>
    </w:p>
    <w:tbl>
      <w:tblPr>
        <w:tblStyle w:val="44"/>
        <w:tblpPr w:leftFromText="180" w:rightFromText="180" w:vertAnchor="text" w:horzAnchor="page" w:tblpX="1801" w:tblpY="389"/>
        <w:tblOverlap w:val="never"/>
        <w:tblW w:w="86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87"/>
        <w:gridCol w:w="5915"/>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240" w:lineRule="auto"/>
              <w:ind w:firstLine="360"/>
              <w:jc w:val="center"/>
            </w:pPr>
          </w:p>
        </w:tc>
        <w:tc>
          <w:tcPr>
            <w:tcW w:w="5915" w:type="dxa"/>
            <w:vAlign w:val="center"/>
          </w:tcPr>
          <w:p>
            <w:pPr>
              <w:spacing w:line="240" w:lineRule="auto"/>
              <w:ind w:firstLine="0" w:firstLineChars="0"/>
              <w:jc w:val="center"/>
              <w:rPr>
                <w:rFonts w:eastAsiaTheme="minorEastAsia"/>
              </w:rPr>
            </w:pPr>
            <w:r>
              <w:rPr>
                <w:position w:val="-26"/>
                <w:sz w:val="21"/>
                <w:szCs w:val="21"/>
              </w:rPr>
              <w:object>
                <v:shape id="_x0000_i1096" o:spt="75" type="#_x0000_t75" style="height:31.8pt;width:94.6pt;" o:ole="t" filled="f" o:preferrelative="t" stroked="f" coordsize="21600,21600">
                  <v:path/>
                  <v:fill on="f" focussize="0,0"/>
                  <v:stroke on="f" joinstyle="miter"/>
                  <v:imagedata r:id="rId165" o:title=""/>
                  <o:lock v:ext="edit" aspectratio="t"/>
                  <w10:wrap type="none"/>
                  <w10:anchorlock/>
                </v:shape>
                <o:OLEObject Type="Embed" ProgID="Equation.DSMT4" ShapeID="_x0000_i1096" DrawAspect="Content" ObjectID="_1468075796" r:id="rId164">
                  <o:LockedField>false</o:LockedField>
                </o:OLEObject>
              </w:object>
            </w:r>
          </w:p>
        </w:tc>
        <w:tc>
          <w:tcPr>
            <w:tcW w:w="1397" w:type="dxa"/>
            <w:vAlign w:val="center"/>
          </w:tcPr>
          <w:p>
            <w:pPr>
              <w:spacing w:line="240" w:lineRule="auto"/>
              <w:ind w:firstLine="0" w:firstLineChars="0"/>
              <w:jc w:val="center"/>
            </w:pPr>
            <w:r>
              <w:rPr>
                <w:rFonts w:hint="eastAsia"/>
              </w:rPr>
              <w:t>（5.7.4-2a）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440" w:lineRule="exact"/>
              <w:ind w:firstLine="360"/>
              <w:jc w:val="center"/>
            </w:pPr>
          </w:p>
        </w:tc>
        <w:tc>
          <w:tcPr>
            <w:tcW w:w="5915" w:type="dxa"/>
            <w:vAlign w:val="center"/>
          </w:tcPr>
          <w:p>
            <w:pPr>
              <w:spacing w:line="440" w:lineRule="exact"/>
              <w:ind w:firstLine="0" w:firstLineChars="0"/>
              <w:jc w:val="center"/>
              <w:rPr>
                <w:rFonts w:ascii="宋体" w:hAnsi="宋体" w:cs="宋体"/>
              </w:rPr>
            </w:pPr>
            <w:r>
              <w:rPr>
                <w:position w:val="-10"/>
                <w:sz w:val="21"/>
                <w:szCs w:val="21"/>
              </w:rPr>
              <w:object>
                <v:shape id="_x0000_i1097" o:spt="75" type="#_x0000_t75" style="height:15.9pt;width:36pt;" o:ole="t" filled="f" o:preferrelative="t" stroked="f" coordsize="21600,21600">
                  <v:path/>
                  <v:fill on="f" focussize="0,0"/>
                  <v:stroke on="f" joinstyle="miter"/>
                  <v:imagedata r:id="rId167" o:title=""/>
                  <o:lock v:ext="edit" aspectratio="t"/>
                  <w10:wrap type="none"/>
                  <w10:anchorlock/>
                </v:shape>
                <o:OLEObject Type="Embed" ProgID="Equation.DSMT4" ShapeID="_x0000_i1097" DrawAspect="Content" ObjectID="_1468075797" r:id="rId166">
                  <o:LockedField>false</o:LockedField>
                </o:OLEObject>
              </w:object>
            </w:r>
          </w:p>
        </w:tc>
        <w:tc>
          <w:tcPr>
            <w:tcW w:w="1397" w:type="dxa"/>
            <w:vAlign w:val="center"/>
          </w:tcPr>
          <w:p>
            <w:pPr>
              <w:spacing w:line="440" w:lineRule="exact"/>
              <w:ind w:firstLine="0" w:firstLineChars="0"/>
              <w:jc w:val="center"/>
            </w:pPr>
            <w:r>
              <w:rPr>
                <w:rFonts w:hint="eastAsia"/>
              </w:rPr>
              <w:t>（5.7.4-3）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440" w:lineRule="exact"/>
              <w:ind w:firstLine="360"/>
              <w:jc w:val="center"/>
            </w:pPr>
          </w:p>
        </w:tc>
        <w:tc>
          <w:tcPr>
            <w:tcW w:w="5915" w:type="dxa"/>
            <w:vAlign w:val="center"/>
          </w:tcPr>
          <w:p>
            <w:pPr>
              <w:spacing w:line="440" w:lineRule="exact"/>
              <w:ind w:firstLine="0" w:firstLineChars="0"/>
              <w:jc w:val="center"/>
              <w:rPr>
                <w:rFonts w:ascii="宋体" w:hAnsi="宋体" w:cs="宋体"/>
              </w:rPr>
            </w:pPr>
            <w:r>
              <w:rPr>
                <w:position w:val="-10"/>
                <w:sz w:val="21"/>
                <w:szCs w:val="21"/>
              </w:rPr>
              <w:object>
                <v:shape id="_x0000_i1098" o:spt="75" type="#_x0000_t75" style="height:15.9pt;width:37.65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798" r:id="rId168">
                  <o:LockedField>false</o:LockedField>
                </o:OLEObject>
              </w:object>
            </w:r>
          </w:p>
        </w:tc>
        <w:tc>
          <w:tcPr>
            <w:tcW w:w="1397" w:type="dxa"/>
            <w:vAlign w:val="center"/>
          </w:tcPr>
          <w:p>
            <w:pPr>
              <w:spacing w:line="440" w:lineRule="exact"/>
              <w:ind w:firstLine="0" w:firstLineChars="0"/>
              <w:jc w:val="center"/>
            </w:pPr>
            <w:r>
              <w:rPr>
                <w:rFonts w:hint="eastAsia"/>
              </w:rPr>
              <w:t>（5.7.4-4）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440" w:lineRule="exact"/>
              <w:ind w:firstLine="360"/>
              <w:jc w:val="center"/>
            </w:pPr>
          </w:p>
        </w:tc>
        <w:tc>
          <w:tcPr>
            <w:tcW w:w="5915" w:type="dxa"/>
            <w:vAlign w:val="center"/>
          </w:tcPr>
          <w:p>
            <w:pPr>
              <w:spacing w:line="440" w:lineRule="exact"/>
              <w:ind w:firstLine="0" w:firstLineChars="0"/>
              <w:jc w:val="center"/>
              <w:rPr>
                <w:rFonts w:ascii="宋体" w:hAnsi="宋体" w:cs="宋体"/>
              </w:rPr>
            </w:pPr>
            <w:r>
              <w:rPr>
                <w:position w:val="-10"/>
                <w:sz w:val="21"/>
                <w:szCs w:val="21"/>
              </w:rPr>
              <w:object>
                <v:shape id="_x0000_i1099" o:spt="75" type="#_x0000_t75" style="height:15.9pt;width:190.9pt;" o:ole="t" filled="f" o:preferrelative="t" stroked="f" coordsize="21600,21600">
                  <v:path/>
                  <v:fill on="f" focussize="0,0"/>
                  <v:stroke on="f" joinstyle="miter"/>
                  <v:imagedata r:id="rId171" o:title=""/>
                  <o:lock v:ext="edit" aspectratio="t"/>
                  <w10:wrap type="none"/>
                  <w10:anchorlock/>
                </v:shape>
                <o:OLEObject Type="Embed" ProgID="Equation.DSMT4" ShapeID="_x0000_i1099" DrawAspect="Content" ObjectID="_1468075799" r:id="rId170">
                  <o:LockedField>false</o:LockedField>
                </o:OLEObject>
              </w:object>
            </w:r>
          </w:p>
        </w:tc>
        <w:tc>
          <w:tcPr>
            <w:tcW w:w="1397" w:type="dxa"/>
            <w:vAlign w:val="center"/>
          </w:tcPr>
          <w:p>
            <w:pPr>
              <w:spacing w:line="440" w:lineRule="exact"/>
              <w:ind w:firstLine="0" w:firstLineChars="0"/>
              <w:jc w:val="center"/>
            </w:pPr>
            <w:r>
              <w:rPr>
                <w:rFonts w:hint="eastAsia"/>
              </w:rPr>
              <w:t>（5.7.4-5）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440" w:lineRule="exact"/>
              <w:ind w:firstLine="360"/>
              <w:jc w:val="center"/>
            </w:pPr>
          </w:p>
        </w:tc>
        <w:tc>
          <w:tcPr>
            <w:tcW w:w="5915" w:type="dxa"/>
            <w:vAlign w:val="center"/>
          </w:tcPr>
          <w:p>
            <w:pPr>
              <w:spacing w:line="440" w:lineRule="exact"/>
              <w:ind w:firstLine="0" w:firstLineChars="0"/>
              <w:jc w:val="center"/>
              <w:rPr>
                <w:rFonts w:ascii="宋体" w:hAnsi="宋体" w:cs="宋体"/>
              </w:rPr>
            </w:pPr>
            <w:r>
              <w:rPr>
                <w:position w:val="-10"/>
                <w:sz w:val="21"/>
                <w:szCs w:val="21"/>
              </w:rPr>
              <w:object>
                <v:shape id="_x0000_i1100" o:spt="75" type="#_x0000_t75" style="height:17.6pt;width:190.9pt;" o:ole="t" filled="f" o:preferrelative="t" stroked="f" coordsize="21600,21600">
                  <v:path/>
                  <v:fill on="f" focussize="0,0"/>
                  <v:stroke on="f" joinstyle="miter"/>
                  <v:imagedata r:id="rId173" o:title=""/>
                  <o:lock v:ext="edit" aspectratio="t"/>
                  <w10:wrap type="none"/>
                  <w10:anchorlock/>
                </v:shape>
                <o:OLEObject Type="Embed" ProgID="Equation.DSMT4" ShapeID="_x0000_i1100" DrawAspect="Content" ObjectID="_1468075800" r:id="rId172">
                  <o:LockedField>false</o:LockedField>
                </o:OLEObject>
              </w:object>
            </w:r>
          </w:p>
        </w:tc>
        <w:tc>
          <w:tcPr>
            <w:tcW w:w="1397" w:type="dxa"/>
            <w:vAlign w:val="center"/>
          </w:tcPr>
          <w:p>
            <w:pPr>
              <w:spacing w:line="440" w:lineRule="exact"/>
              <w:ind w:firstLine="0" w:firstLineChars="0"/>
              <w:jc w:val="center"/>
            </w:pPr>
            <w:r>
              <w:rPr>
                <w:rFonts w:hint="eastAsia"/>
              </w:rPr>
              <w:t>（5.7.4-6）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7" w:type="dxa"/>
            <w:vAlign w:val="center"/>
          </w:tcPr>
          <w:p>
            <w:pPr>
              <w:spacing w:line="440" w:lineRule="exact"/>
              <w:ind w:firstLine="360"/>
              <w:jc w:val="center"/>
            </w:pPr>
          </w:p>
        </w:tc>
        <w:tc>
          <w:tcPr>
            <w:tcW w:w="5915" w:type="dxa"/>
            <w:vAlign w:val="center"/>
          </w:tcPr>
          <w:p>
            <w:pPr>
              <w:spacing w:line="440" w:lineRule="exact"/>
              <w:ind w:firstLine="0" w:firstLineChars="0"/>
              <w:jc w:val="center"/>
              <w:rPr>
                <w:position w:val="-14"/>
              </w:rPr>
            </w:pPr>
            <w:r>
              <w:rPr>
                <w:position w:val="-10"/>
                <w:sz w:val="21"/>
                <w:szCs w:val="21"/>
              </w:rPr>
              <w:object>
                <v:shape id="_x0000_i1101" o:spt="75" type="#_x0000_t75" style="height:15.9pt;width:91.25pt;" o:ole="t" filled="f" o:preferrelative="t" stroked="f" coordsize="21600,21600">
                  <v:path/>
                  <v:fill on="f" focussize="0,0"/>
                  <v:stroke on="f" joinstyle="miter"/>
                  <v:imagedata r:id="rId175" o:title=""/>
                  <o:lock v:ext="edit" aspectratio="t"/>
                  <w10:wrap type="none"/>
                  <w10:anchorlock/>
                </v:shape>
                <o:OLEObject Type="Embed" ProgID="Equation.DSMT4" ShapeID="_x0000_i1101" DrawAspect="Content" ObjectID="_1468075801" r:id="rId174">
                  <o:LockedField>false</o:LockedField>
                </o:OLEObject>
              </w:object>
            </w:r>
          </w:p>
        </w:tc>
        <w:tc>
          <w:tcPr>
            <w:tcW w:w="1397" w:type="dxa"/>
            <w:vAlign w:val="center"/>
          </w:tcPr>
          <w:p>
            <w:pPr>
              <w:spacing w:line="440" w:lineRule="exact"/>
              <w:ind w:firstLine="0" w:firstLineChars="0"/>
              <w:jc w:val="center"/>
            </w:pPr>
            <w:r>
              <w:rPr>
                <w:rFonts w:hint="eastAsia"/>
              </w:rPr>
              <w:t>（5.7.4-7）</w:t>
            </w:r>
          </w:p>
        </w:tc>
      </w:tr>
    </w:tbl>
    <w:p>
      <w:r>
        <w:t>开孔</w:t>
      </w:r>
      <w:r>
        <w:rPr>
          <w:rFonts w:hint="eastAsia"/>
        </w:rPr>
        <w:t>钢板组合剪力墙翼缘墙肢受拉时，塑性中和轴高度一般位于截面腹板墙肢内（图5.7.3-2），C点的抗压和抗弯承载力设计值按下列公式计算：</w:t>
      </w:r>
    </w:p>
    <w:tbl>
      <w:tblPr>
        <w:tblStyle w:val="4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5973"/>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240" w:lineRule="auto"/>
              <w:ind w:firstLine="360"/>
            </w:pPr>
          </w:p>
        </w:tc>
        <w:tc>
          <w:tcPr>
            <w:tcW w:w="5973" w:type="dxa"/>
          </w:tcPr>
          <w:p>
            <w:pPr>
              <w:spacing w:line="240" w:lineRule="auto"/>
              <w:ind w:firstLine="0" w:firstLineChars="0"/>
              <w:jc w:val="center"/>
            </w:pPr>
            <w:r>
              <w:rPr>
                <w:position w:val="-26"/>
                <w:sz w:val="21"/>
                <w:szCs w:val="21"/>
              </w:rPr>
              <w:object>
                <v:shape id="_x0000_i1102" o:spt="75" type="#_x0000_t75" style="height:32.65pt;width:94.6pt;" o:ole="t" filled="f" o:preferrelative="t" stroked="f" coordsize="21600,21600">
                  <v:path/>
                  <v:fill on="f" focussize="0,0"/>
                  <v:stroke on="f" joinstyle="miter"/>
                  <v:imagedata r:id="rId177" o:title=""/>
                  <o:lock v:ext="edit" aspectratio="t"/>
                  <w10:wrap type="none"/>
                  <w10:anchorlock/>
                </v:shape>
                <o:OLEObject Type="Embed" ProgID="Equation.DSMT4" ShapeID="_x0000_i1102" DrawAspect="Content" ObjectID="_1468075802" r:id="rId176">
                  <o:LockedField>false</o:LockedField>
                </o:OLEObject>
              </w:object>
            </w:r>
          </w:p>
        </w:tc>
        <w:tc>
          <w:tcPr>
            <w:tcW w:w="1470" w:type="dxa"/>
          </w:tcPr>
          <w:p>
            <w:pPr>
              <w:spacing w:line="240" w:lineRule="auto"/>
              <w:ind w:firstLine="0" w:firstLineChars="0"/>
              <w:jc w:val="right"/>
            </w:pPr>
            <w:r>
              <w:rPr>
                <w:rFonts w:hint="eastAsia"/>
              </w:rPr>
              <w:t>（</w:t>
            </w:r>
            <w:r>
              <w:t>5.7.</w:t>
            </w:r>
            <w:r>
              <w:rPr>
                <w:rFonts w:hint="eastAsia"/>
              </w:rPr>
              <w:t>4</w:t>
            </w:r>
            <w:r>
              <w:t>-</w:t>
            </w:r>
            <w:r>
              <w:rPr>
                <w:rFonts w:hint="eastAsia"/>
              </w:rPr>
              <w:t>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440" w:lineRule="exact"/>
              <w:ind w:firstLine="360"/>
            </w:pPr>
          </w:p>
        </w:tc>
        <w:tc>
          <w:tcPr>
            <w:tcW w:w="5973" w:type="dxa"/>
          </w:tcPr>
          <w:p>
            <w:pPr>
              <w:spacing w:line="440" w:lineRule="exact"/>
              <w:ind w:firstLine="0" w:firstLineChars="0"/>
              <w:jc w:val="center"/>
              <w:rPr>
                <w:position w:val="-12"/>
              </w:rPr>
            </w:pPr>
            <w:r>
              <w:rPr>
                <w:position w:val="-10"/>
                <w:sz w:val="21"/>
                <w:szCs w:val="21"/>
              </w:rPr>
              <w:object>
                <v:shape id="_x0000_i1103" o:spt="75" type="#_x0000_t75" style="height:17.6pt;width:95.45pt;" o:ole="t" filled="f" o:preferrelative="t" stroked="f" coordsize="21600,21600">
                  <v:path/>
                  <v:fill on="f" focussize="0,0"/>
                  <v:stroke on="f" joinstyle="miter"/>
                  <v:imagedata r:id="rId179" o:title=""/>
                  <o:lock v:ext="edit" aspectratio="t"/>
                  <w10:wrap type="none"/>
                  <w10:anchorlock/>
                </v:shape>
                <o:OLEObject Type="Embed" ProgID="Equation.DSMT4" ShapeID="_x0000_i1103" DrawAspect="Content" ObjectID="_1468075803" r:id="rId178">
                  <o:LockedField>false</o:LockedField>
                </o:OLEObject>
              </w:object>
            </w:r>
          </w:p>
        </w:tc>
        <w:tc>
          <w:tcPr>
            <w:tcW w:w="1470" w:type="dxa"/>
          </w:tcPr>
          <w:p>
            <w:pPr>
              <w:spacing w:line="440" w:lineRule="exact"/>
              <w:ind w:firstLine="0" w:firstLineChars="0"/>
              <w:jc w:val="right"/>
            </w:pPr>
            <w:r>
              <w:rPr>
                <w:rFonts w:hint="eastAsia"/>
              </w:rPr>
              <w:t>（</w:t>
            </w:r>
            <w:r>
              <w:t>5.7.</w:t>
            </w:r>
            <w:r>
              <w:rPr>
                <w:rFonts w:hint="eastAsia"/>
              </w:rPr>
              <w:t>4</w:t>
            </w:r>
            <w:r>
              <w:t>-</w:t>
            </w:r>
            <w:r>
              <w:rPr>
                <w:rFonts w:hint="eastAsi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440" w:lineRule="exact"/>
              <w:ind w:firstLine="360"/>
            </w:pPr>
          </w:p>
        </w:tc>
        <w:tc>
          <w:tcPr>
            <w:tcW w:w="5973" w:type="dxa"/>
          </w:tcPr>
          <w:p>
            <w:pPr>
              <w:spacing w:line="440" w:lineRule="exact"/>
              <w:ind w:firstLine="0" w:firstLineChars="0"/>
              <w:jc w:val="center"/>
              <w:rPr>
                <w:position w:val="-12"/>
              </w:rPr>
            </w:pPr>
            <w:r>
              <w:rPr>
                <w:position w:val="-10"/>
                <w:sz w:val="21"/>
                <w:szCs w:val="21"/>
              </w:rPr>
              <w:object>
                <v:shape id="_x0000_i1104" o:spt="75" type="#_x0000_t75" style="height:17.6pt;width:85.4pt;" o:ole="t" filled="f" o:preferrelative="t" stroked="f" coordsize="21600,21600">
                  <v:path/>
                  <v:fill on="f" focussize="0,0"/>
                  <v:stroke on="f" joinstyle="miter"/>
                  <v:imagedata r:id="rId181" o:title=""/>
                  <o:lock v:ext="edit" aspectratio="t"/>
                  <w10:wrap type="none"/>
                  <w10:anchorlock/>
                </v:shape>
                <o:OLEObject Type="Embed" ProgID="Equation.DSMT4" ShapeID="_x0000_i1104" DrawAspect="Content" ObjectID="_1468075804" r:id="rId180">
                  <o:LockedField>false</o:LockedField>
                </o:OLEObject>
              </w:object>
            </w:r>
          </w:p>
        </w:tc>
        <w:tc>
          <w:tcPr>
            <w:tcW w:w="1470" w:type="dxa"/>
          </w:tcPr>
          <w:p>
            <w:pPr>
              <w:spacing w:line="440" w:lineRule="exact"/>
              <w:ind w:firstLine="0" w:firstLineChars="0"/>
              <w:jc w:val="right"/>
            </w:pPr>
            <w:r>
              <w:rPr>
                <w:rFonts w:hint="eastAsia"/>
              </w:rPr>
              <w:t>（</w:t>
            </w:r>
            <w:r>
              <w:t>5.7.</w:t>
            </w:r>
            <w:r>
              <w:rPr>
                <w:rFonts w:hint="eastAsia"/>
              </w:rPr>
              <w:t>4</w:t>
            </w:r>
            <w:r>
              <w:t>-</w:t>
            </w:r>
            <w:r>
              <w:rPr>
                <w:rFonts w:hint="eastAsi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440" w:lineRule="exact"/>
              <w:ind w:firstLine="360"/>
            </w:pPr>
          </w:p>
        </w:tc>
        <w:tc>
          <w:tcPr>
            <w:tcW w:w="5973" w:type="dxa"/>
          </w:tcPr>
          <w:p>
            <w:pPr>
              <w:spacing w:line="440" w:lineRule="exact"/>
              <w:ind w:firstLine="0" w:firstLineChars="0"/>
              <w:jc w:val="center"/>
              <w:rPr>
                <w:position w:val="-10"/>
              </w:rPr>
            </w:pPr>
            <w:r>
              <w:rPr>
                <w:position w:val="-10"/>
                <w:sz w:val="21"/>
                <w:szCs w:val="21"/>
              </w:rPr>
              <w:object>
                <v:shape id="_x0000_i1105" o:spt="75" type="#_x0000_t75" style="height:15.9pt;width:140.65pt;" o:ole="t" filled="f" o:preferrelative="t" stroked="f" coordsize="21600,21600">
                  <v:path/>
                  <v:fill on="f" focussize="0,0"/>
                  <v:stroke on="f" joinstyle="miter"/>
                  <v:imagedata r:id="rId183" o:title=""/>
                  <o:lock v:ext="edit" aspectratio="t"/>
                  <w10:wrap type="none"/>
                  <w10:anchorlock/>
                </v:shape>
                <o:OLEObject Type="Embed" ProgID="Equation.DSMT4" ShapeID="_x0000_i1105" DrawAspect="Content" ObjectID="_1468075805" r:id="rId182">
                  <o:LockedField>false</o:LockedField>
                </o:OLEObject>
              </w:object>
            </w:r>
          </w:p>
        </w:tc>
        <w:tc>
          <w:tcPr>
            <w:tcW w:w="1470" w:type="dxa"/>
          </w:tcPr>
          <w:p>
            <w:pPr>
              <w:spacing w:line="440" w:lineRule="exact"/>
              <w:ind w:firstLine="0" w:firstLineChars="0"/>
              <w:jc w:val="right"/>
            </w:pPr>
            <w:r>
              <w:rPr>
                <w:rFonts w:hint="eastAsia"/>
              </w:rPr>
              <w:t>（</w:t>
            </w:r>
            <w:r>
              <w:t>5.7.</w:t>
            </w:r>
            <w:r>
              <w:rPr>
                <w:rFonts w:hint="eastAsia"/>
              </w:rPr>
              <w:t>4</w:t>
            </w:r>
            <w:r>
              <w:t>-</w:t>
            </w:r>
            <w:r>
              <w:rPr>
                <w:rFonts w:hint="eastAsi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440" w:lineRule="exact"/>
              <w:ind w:firstLine="360"/>
            </w:pPr>
          </w:p>
        </w:tc>
        <w:tc>
          <w:tcPr>
            <w:tcW w:w="5973" w:type="dxa"/>
          </w:tcPr>
          <w:p>
            <w:pPr>
              <w:spacing w:line="440" w:lineRule="exact"/>
              <w:ind w:firstLine="0" w:firstLineChars="0"/>
              <w:jc w:val="center"/>
              <w:rPr>
                <w:position w:val="-10"/>
              </w:rPr>
            </w:pPr>
            <w:r>
              <w:rPr>
                <w:position w:val="-10"/>
                <w:sz w:val="21"/>
                <w:szCs w:val="21"/>
              </w:rPr>
              <w:object>
                <v:shape id="_x0000_i1106" o:spt="75" type="#_x0000_t75" style="height:17.6pt;width:87.05pt;" o:ole="t" filled="f" o:preferrelative="t" stroked="f" coordsize="21600,21600">
                  <v:path/>
                  <v:fill on="f" focussize="0,0"/>
                  <v:stroke on="f" joinstyle="miter"/>
                  <v:imagedata r:id="rId185" o:title=""/>
                  <o:lock v:ext="edit" aspectratio="t"/>
                  <w10:wrap type="none"/>
                  <w10:anchorlock/>
                </v:shape>
                <o:OLEObject Type="Embed" ProgID="Equation.DSMT4" ShapeID="_x0000_i1106" DrawAspect="Content" ObjectID="_1468075806" r:id="rId184">
                  <o:LockedField>false</o:LockedField>
                </o:OLEObject>
              </w:object>
            </w:r>
          </w:p>
        </w:tc>
        <w:tc>
          <w:tcPr>
            <w:tcW w:w="1470" w:type="dxa"/>
          </w:tcPr>
          <w:p>
            <w:pPr>
              <w:spacing w:line="440" w:lineRule="exact"/>
              <w:ind w:firstLine="0" w:firstLineChars="0"/>
              <w:jc w:val="right"/>
            </w:pPr>
            <w:r>
              <w:rPr>
                <w:rFonts w:hint="eastAsia"/>
              </w:rPr>
              <w:t>（</w:t>
            </w:r>
            <w:r>
              <w:t>5.7.</w:t>
            </w:r>
            <w:r>
              <w:rPr>
                <w:rFonts w:hint="eastAsia"/>
              </w:rPr>
              <w:t>4</w:t>
            </w:r>
            <w:r>
              <w:t>-</w:t>
            </w:r>
            <w:r>
              <w:rPr>
                <w:rFonts w:hint="eastAsia"/>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Pr>
          <w:p>
            <w:pPr>
              <w:spacing w:line="440" w:lineRule="exact"/>
              <w:ind w:firstLine="360"/>
            </w:pPr>
          </w:p>
        </w:tc>
        <w:tc>
          <w:tcPr>
            <w:tcW w:w="5973" w:type="dxa"/>
          </w:tcPr>
          <w:p>
            <w:pPr>
              <w:spacing w:line="440" w:lineRule="exact"/>
              <w:ind w:firstLine="0" w:firstLineChars="0"/>
              <w:jc w:val="center"/>
              <w:rPr>
                <w:position w:val="-10"/>
              </w:rPr>
            </w:pPr>
            <w:r>
              <w:rPr>
                <w:position w:val="-10"/>
                <w:sz w:val="21"/>
                <w:szCs w:val="21"/>
              </w:rPr>
              <w:object>
                <v:shape id="_x0000_i1107" o:spt="75" type="#_x0000_t75" style="height:15.9pt;width:153.2pt;" o:ole="t" filled="f" o:preferrelative="t" stroked="f" coordsize="21600,21600">
                  <v:path/>
                  <v:fill on="f" focussize="0,0"/>
                  <v:stroke on="f" joinstyle="miter"/>
                  <v:imagedata r:id="rId187" o:title=""/>
                  <o:lock v:ext="edit" aspectratio="t"/>
                  <w10:wrap type="none"/>
                  <w10:anchorlock/>
                </v:shape>
                <o:OLEObject Type="Embed" ProgID="Equation.DSMT4" ShapeID="_x0000_i1107" DrawAspect="Content" ObjectID="_1468075807" r:id="rId186">
                  <o:LockedField>false</o:LockedField>
                </o:OLEObject>
              </w:object>
            </w:r>
          </w:p>
        </w:tc>
        <w:tc>
          <w:tcPr>
            <w:tcW w:w="1470" w:type="dxa"/>
          </w:tcPr>
          <w:p>
            <w:pPr>
              <w:spacing w:line="440" w:lineRule="exact"/>
              <w:ind w:firstLine="0" w:firstLineChars="0"/>
              <w:jc w:val="right"/>
            </w:pPr>
            <w:r>
              <w:rPr>
                <w:rFonts w:hint="eastAsia"/>
              </w:rPr>
              <w:t>（</w:t>
            </w:r>
            <w:r>
              <w:t>5.7.</w:t>
            </w:r>
            <w:r>
              <w:rPr>
                <w:rFonts w:hint="eastAsia"/>
              </w:rPr>
              <w:t>4</w:t>
            </w:r>
            <w:r>
              <w:t>-</w:t>
            </w:r>
            <w:r>
              <w:rPr>
                <w:rFonts w:hint="eastAsia"/>
              </w:rPr>
              <w:t>12）</w:t>
            </w:r>
          </w:p>
        </w:tc>
      </w:tr>
    </w:tbl>
    <w:p>
      <w:pPr>
        <w:pStyle w:val="74"/>
        <w:ind w:firstLine="400"/>
      </w:pPr>
      <w:r>
        <w:rPr>
          <w:rFonts w:hint="eastAsia"/>
        </w:rPr>
        <w:t>【条文说明】本条用于计算轴压力和弯矩共同作用下开孔钢板组合剪力墙的承载力。基于大量参数分析，得到不同参数组合情况下承载力相关公式。回归得到开孔钢板组合剪力墙承载力相关公式。该设计公式采用三段式（A-B-C-D），分为翼缘受压和受拉两种情况，将数值计算的承载力相关公式进行简化，如图5.7.4所示。</w:t>
      </w:r>
    </w:p>
    <w:p>
      <w:pPr>
        <w:spacing w:line="240" w:lineRule="auto"/>
        <w:jc w:val="center"/>
        <w:rPr>
          <w:sz w:val="24"/>
          <w:szCs w:val="24"/>
        </w:rPr>
      </w:pPr>
      <w:r>
        <w:drawing>
          <wp:inline distT="0" distB="0" distL="0" distR="0">
            <wp:extent cx="1977390" cy="1439545"/>
            <wp:effectExtent l="0" t="0" r="3810" b="8255"/>
            <wp:docPr id="5376" name="图片 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6" name="图片 5376"/>
                    <pic:cNvPicPr>
                      <a:picLocks noChangeAspect="1"/>
                    </pic:cNvPicPr>
                  </pic:nvPicPr>
                  <pic:blipFill>
                    <a:blip r:embed="rId188"/>
                    <a:stretch>
                      <a:fillRect/>
                    </a:stretch>
                  </pic:blipFill>
                  <pic:spPr>
                    <a:xfrm>
                      <a:off x="0" y="0"/>
                      <a:ext cx="1977739" cy="1440000"/>
                    </a:xfrm>
                    <a:prstGeom prst="rect">
                      <a:avLst/>
                    </a:prstGeom>
                  </pic:spPr>
                </pic:pic>
              </a:graphicData>
            </a:graphic>
          </wp:inline>
        </w:drawing>
      </w:r>
    </w:p>
    <w:p>
      <w:pPr>
        <w:pStyle w:val="80"/>
        <w:ind w:firstLine="361"/>
        <w:rPr>
          <w:b/>
          <w:bCs/>
        </w:rPr>
      </w:pPr>
      <w:r>
        <w:rPr>
          <w:rFonts w:hint="eastAsia"/>
          <w:b/>
          <w:bCs/>
        </w:rPr>
        <w:t>图5.7.4 典型T形钢管混凝土柱截面N-M曲线</w:t>
      </w:r>
    </w:p>
    <w:p>
      <w:pPr>
        <w:pStyle w:val="4"/>
        <w:ind w:left="0"/>
      </w:pPr>
      <w:r>
        <w:t>开孔</w:t>
      </w:r>
      <w:r>
        <w:rPr>
          <w:rFonts w:hint="eastAsia"/>
        </w:rPr>
        <w:t>钢板组合剪力墙抗剪承载力设计值应按下列公式计算：</w:t>
      </w:r>
    </w:p>
    <w:tbl>
      <w:tblPr>
        <w:tblStyle w:val="4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6161"/>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rPr>
                <w:position w:val="-12"/>
              </w:rPr>
            </w:pPr>
            <w:r>
              <w:rPr>
                <w:position w:val="-10"/>
                <w:sz w:val="21"/>
                <w:szCs w:val="21"/>
              </w:rPr>
              <w:object>
                <v:shape id="_x0000_i1108" o:spt="75" type="#_x0000_t75" style="height:17.6pt;width:29.3pt;" o:ole="t" filled="f" o:preferrelative="t" stroked="f" coordsize="21600,21600">
                  <v:path/>
                  <v:fill on="f" focussize="0,0"/>
                  <v:stroke on="f" joinstyle="miter"/>
                  <v:imagedata r:id="rId190" o:title=""/>
                  <o:lock v:ext="edit" aspectratio="t"/>
                  <w10:wrap type="none"/>
                  <w10:anchorlock/>
                </v:shape>
                <o:OLEObject Type="Embed" ProgID="Equation.DSMT4" ShapeID="_x0000_i1108" DrawAspect="Content" ObjectID="_1468075808" r:id="rId189">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w:t>
            </w:r>
            <w:r>
              <w:t>5.7.5-1</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rPr>
                <w:position w:val="-10"/>
              </w:rPr>
            </w:pPr>
            <w:r>
              <w:rPr>
                <w:position w:val="-10"/>
                <w:sz w:val="21"/>
                <w:szCs w:val="21"/>
              </w:rPr>
              <w:object>
                <v:shape id="_x0000_i1109" o:spt="75" type="#_x0000_t75" style="height:17.6pt;width:51.9pt;" o:ole="t" filled="f" o:preferrelative="t" stroked="f" coordsize="21600,21600">
                  <v:path/>
                  <v:fill on="f" focussize="0,0"/>
                  <v:stroke on="f" joinstyle="miter"/>
                  <v:imagedata r:id="rId192" o:title=""/>
                  <o:lock v:ext="edit" aspectratio="t"/>
                  <w10:wrap type="none"/>
                  <w10:anchorlock/>
                </v:shape>
                <o:OLEObject Type="Embed" ProgID="Equation.DSMT4" ShapeID="_x0000_i1109" DrawAspect="Content" ObjectID="_1468075809" r:id="rId191">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w:t>
            </w:r>
            <w:r>
              <w:t>5.7.5-</w:t>
            </w:r>
            <w:r>
              <w:rPr>
                <w:rFonts w:hint="eastAsia"/>
              </w:rPr>
              <w:t>2）</w:t>
            </w:r>
          </w:p>
        </w:tc>
      </w:tr>
    </w:tbl>
    <w:tbl>
      <w:tblPr>
        <w:tblStyle w:val="43"/>
        <w:tblW w:w="8415" w:type="dxa"/>
        <w:tblInd w:w="108" w:type="dxa"/>
        <w:tblLayout w:type="fixed"/>
        <w:tblCellMar>
          <w:top w:w="0" w:type="dxa"/>
          <w:left w:w="108" w:type="dxa"/>
          <w:bottom w:w="0" w:type="dxa"/>
          <w:right w:w="108" w:type="dxa"/>
        </w:tblCellMar>
      </w:tblPr>
      <w:tblGrid>
        <w:gridCol w:w="851"/>
        <w:gridCol w:w="567"/>
        <w:gridCol w:w="709"/>
        <w:gridCol w:w="6288"/>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567" w:type="dxa"/>
          </w:tcPr>
          <w:p>
            <w:pPr>
              <w:spacing w:line="440" w:lineRule="exact"/>
              <w:ind w:firstLine="0" w:firstLineChars="0"/>
              <w:rPr>
                <w:sz w:val="20"/>
                <w:szCs w:val="20"/>
              </w:rPr>
            </w:pPr>
            <w:r>
              <w:rPr>
                <w:i/>
              </w:rPr>
              <w:t>V</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t>开孔</w:t>
            </w:r>
            <w:r>
              <w:rPr>
                <w:rFonts w:hint="eastAsia"/>
              </w:rPr>
              <w:t>钢板组合剪力墙的剪力设计值；</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rPr>
                <w:sz w:val="20"/>
                <w:szCs w:val="20"/>
              </w:rPr>
            </w:pPr>
            <w:r>
              <w:rPr>
                <w:i/>
              </w:rPr>
              <w:t>V</w:t>
            </w:r>
            <w:r>
              <w:rPr>
                <w:vertAlign w:val="subscript"/>
              </w:rPr>
              <w:t>u</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t>开孔</w:t>
            </w:r>
            <w:r>
              <w:rPr>
                <w:rFonts w:hint="eastAsia"/>
              </w:rPr>
              <w:t>钢板组合剪力墙的受剪承载力设计值；</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rPr>
                <w:sz w:val="20"/>
                <w:szCs w:val="20"/>
              </w:rPr>
            </w:pPr>
            <w:r>
              <w:rPr>
                <w:i/>
              </w:rPr>
              <w:t>A</w:t>
            </w:r>
            <w:r>
              <w:rPr>
                <w:vertAlign w:val="subscript"/>
              </w:rPr>
              <w:t>sw</w:t>
            </w:r>
          </w:p>
        </w:tc>
        <w:tc>
          <w:tcPr>
            <w:tcW w:w="709" w:type="dxa"/>
          </w:tcPr>
          <w:p>
            <w:pPr>
              <w:spacing w:line="440" w:lineRule="exact"/>
              <w:ind w:firstLine="0" w:firstLineChars="0"/>
              <w:jc w:val="both"/>
            </w:pPr>
            <w:r>
              <w:t>——</w:t>
            </w:r>
          </w:p>
        </w:tc>
        <w:tc>
          <w:tcPr>
            <w:tcW w:w="6288" w:type="dxa"/>
          </w:tcPr>
          <w:p>
            <w:pPr>
              <w:spacing w:line="440" w:lineRule="exact"/>
              <w:ind w:firstLine="0" w:firstLineChars="0"/>
            </w:pPr>
            <w:r>
              <w:rPr>
                <w:rFonts w:hint="eastAsia"/>
              </w:rPr>
              <w:t>平行于剪力墙受力平面的钢板面积。</w:t>
            </w:r>
          </w:p>
        </w:tc>
      </w:tr>
    </w:tbl>
    <w:p>
      <w:pPr>
        <w:pStyle w:val="74"/>
        <w:ind w:firstLine="400"/>
      </w:pPr>
      <w:r>
        <w:rPr>
          <w:rFonts w:hint="eastAsia"/>
        </w:rPr>
        <w:t>【条文说明】目前对</w:t>
      </w:r>
      <w:r>
        <w:t>开孔</w:t>
      </w:r>
      <w:r>
        <w:rPr>
          <w:rFonts w:hint="eastAsia"/>
        </w:rPr>
        <w:t>钢板组合剪力墙中混凝土对抗剪贡献的研究还不充分，因此保守仅考虑钢板的抗剪贡献，取平行受力方向的腹板墙肢两外包钢板的面积计算。</w:t>
      </w:r>
    </w:p>
    <w:p>
      <w:pPr>
        <w:pStyle w:val="4"/>
        <w:ind w:left="0"/>
      </w:pPr>
      <w:r>
        <w:t>轴压比和轴压比限值</w:t>
      </w:r>
    </w:p>
    <w:p>
      <w:r>
        <w:rPr>
          <w:rFonts w:hint="eastAsia"/>
        </w:rPr>
        <w:t>考虑地震作用的开孔钢板组合剪力墙，其在重力荷载代表值作用下的轴压比应按公式（</w:t>
      </w:r>
      <w:r>
        <w:t>5.</w:t>
      </w:r>
      <w:r>
        <w:rPr>
          <w:rFonts w:hint="eastAsia"/>
        </w:rPr>
        <w:t>7</w:t>
      </w:r>
      <w:r>
        <w:t>.6</w:t>
      </w:r>
      <w:r>
        <w:rPr>
          <w:rFonts w:hint="eastAsia"/>
        </w:rPr>
        <w:t>）计算，其不宜超过表</w:t>
      </w:r>
      <w:r>
        <w:t>5.</w:t>
      </w:r>
      <w:r>
        <w:rPr>
          <w:rFonts w:hint="eastAsia"/>
        </w:rPr>
        <w:t>7</w:t>
      </w:r>
      <w:r>
        <w:t>.6</w:t>
      </w:r>
      <w:r>
        <w:rPr>
          <w:rFonts w:hint="eastAsia"/>
        </w:rPr>
        <w:t>的限值。</w:t>
      </w:r>
    </w:p>
    <w:tbl>
      <w:tblPr>
        <w:tblStyle w:val="44"/>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0"/>
        <w:gridCol w:w="5937"/>
        <w:gridCol w:w="1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50" w:type="dxa"/>
            <w:tcBorders>
              <w:tl2br w:val="nil"/>
              <w:tr2bl w:val="nil"/>
            </w:tcBorders>
            <w:vAlign w:val="center"/>
          </w:tcPr>
          <w:p>
            <w:pPr>
              <w:spacing w:line="240" w:lineRule="auto"/>
              <w:ind w:firstLine="360"/>
              <w:jc w:val="center"/>
            </w:pPr>
          </w:p>
        </w:tc>
        <w:tc>
          <w:tcPr>
            <w:tcW w:w="5937" w:type="dxa"/>
            <w:tcBorders>
              <w:tl2br w:val="nil"/>
              <w:tr2bl w:val="nil"/>
            </w:tcBorders>
            <w:vAlign w:val="center"/>
          </w:tcPr>
          <w:p>
            <w:pPr>
              <w:spacing w:line="240" w:lineRule="auto"/>
              <w:ind w:firstLine="0" w:firstLineChars="0"/>
              <w:jc w:val="center"/>
              <w:rPr>
                <w:position w:val="-12"/>
              </w:rPr>
            </w:pPr>
            <w:r>
              <w:rPr>
                <w:rFonts w:hint="eastAsia"/>
                <w:sz w:val="21"/>
                <w:szCs w:val="21"/>
              </w:rPr>
              <w:object>
                <v:shape id="_x0000_i1110" o:spt="75" type="#_x0000_t75" style="height:31.8pt;width:67.8pt;" o:ole="t" filled="f" o:preferrelative="t" stroked="f" coordsize="21600,21600">
                  <v:path/>
                  <v:fill on="f" focussize="0,0"/>
                  <v:stroke on="f" joinstyle="miter"/>
                  <v:imagedata r:id="rId194" o:title=""/>
                  <o:lock v:ext="edit" aspectratio="t"/>
                  <w10:wrap type="none"/>
                  <w10:anchorlock/>
                </v:shape>
                <o:OLEObject Type="Embed" ProgID="Equation.DSMT4" ShapeID="_x0000_i1110" DrawAspect="Content" ObjectID="_1468075810" r:id="rId193">
                  <o:LockedField>false</o:LockedField>
                </o:OLEObject>
              </w:object>
            </w:r>
          </w:p>
        </w:tc>
        <w:tc>
          <w:tcPr>
            <w:tcW w:w="1235" w:type="dxa"/>
            <w:tcBorders>
              <w:tl2br w:val="nil"/>
              <w:tr2bl w:val="nil"/>
            </w:tcBorders>
            <w:vAlign w:val="center"/>
          </w:tcPr>
          <w:p>
            <w:pPr>
              <w:spacing w:line="240" w:lineRule="auto"/>
              <w:ind w:firstLine="0" w:firstLineChars="0"/>
              <w:jc w:val="right"/>
            </w:pPr>
            <w:r>
              <w:rPr>
                <w:rFonts w:hint="eastAsia"/>
              </w:rPr>
              <w:t>（</w:t>
            </w:r>
            <w:r>
              <w:t>5.7.</w:t>
            </w:r>
            <w:r>
              <w:rPr>
                <w:rFonts w:hint="eastAsia"/>
              </w:rPr>
              <w:t>6）</w:t>
            </w:r>
          </w:p>
        </w:tc>
      </w:tr>
    </w:tbl>
    <w:tbl>
      <w:tblPr>
        <w:tblStyle w:val="43"/>
        <w:tblW w:w="8557" w:type="dxa"/>
        <w:tblInd w:w="-34" w:type="dxa"/>
        <w:tblLayout w:type="fixed"/>
        <w:tblCellMar>
          <w:top w:w="0" w:type="dxa"/>
          <w:left w:w="108" w:type="dxa"/>
          <w:bottom w:w="0" w:type="dxa"/>
          <w:right w:w="108" w:type="dxa"/>
        </w:tblCellMar>
      </w:tblPr>
      <w:tblGrid>
        <w:gridCol w:w="851"/>
        <w:gridCol w:w="567"/>
        <w:gridCol w:w="709"/>
        <w:gridCol w:w="6430"/>
      </w:tblGrid>
      <w:tr>
        <w:tblPrEx>
          <w:tblCellMar>
            <w:top w:w="0" w:type="dxa"/>
            <w:left w:w="108" w:type="dxa"/>
            <w:bottom w:w="0" w:type="dxa"/>
            <w:right w:w="108" w:type="dxa"/>
          </w:tblCellMar>
        </w:tblPrEx>
        <w:tc>
          <w:tcPr>
            <w:tcW w:w="851" w:type="dxa"/>
          </w:tcPr>
          <w:p>
            <w:pPr>
              <w:spacing w:line="440" w:lineRule="exact"/>
              <w:ind w:firstLine="0" w:firstLineChars="0"/>
            </w:pPr>
            <w:r>
              <w:rPr>
                <w:rFonts w:hint="eastAsia"/>
              </w:rPr>
              <w:t>式中</w:t>
            </w:r>
            <w:r>
              <w:t>：</w:t>
            </w:r>
          </w:p>
        </w:tc>
        <w:tc>
          <w:tcPr>
            <w:tcW w:w="567" w:type="dxa"/>
          </w:tcPr>
          <w:p>
            <w:pPr>
              <w:spacing w:line="440" w:lineRule="exact"/>
              <w:ind w:firstLine="0" w:firstLineChars="0"/>
              <w:rPr>
                <w:rFonts w:eastAsiaTheme="minorEastAsia"/>
                <w:sz w:val="20"/>
                <w:szCs w:val="20"/>
              </w:rPr>
            </w:pPr>
            <w:r>
              <w:rPr>
                <w:rFonts w:hint="eastAsia"/>
                <w:i/>
                <w:iCs/>
                <w:sz w:val="20"/>
                <w:szCs w:val="20"/>
              </w:rPr>
              <w:t>n</w: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轴压比；</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rPr>
                <w:sz w:val="20"/>
                <w:szCs w:val="20"/>
              </w:rPr>
            </w:pPr>
            <w:r>
              <w:rPr>
                <w:position w:val="-6"/>
              </w:rPr>
              <w:object>
                <v:shape id="_x0000_i1111" o:spt="75" type="#_x0000_t75" style="height:12.55pt;width:15.05pt;" o:ole="t" filled="f" o:preferrelative="t" stroked="f" coordsize="21600,21600">
                  <v:path/>
                  <v:fill on="f" focussize="0,0"/>
                  <v:stroke on="f" joinstyle="miter"/>
                  <v:imagedata r:id="rId196" o:title=""/>
                  <o:lock v:ext="edit" aspectratio="t"/>
                  <w10:wrap type="none"/>
                  <w10:anchorlock/>
                </v:shape>
                <o:OLEObject Type="Embed" ProgID="Equation.DSMT4" ShapeID="_x0000_i1111" DrawAspect="Content" ObjectID="_1468075811" r:id="rId195">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剪力墙的轴压力设计值；</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rPr>
                <w:sz w:val="20"/>
                <w:szCs w:val="20"/>
              </w:rPr>
            </w:pPr>
            <w:r>
              <w:rPr>
                <w:position w:val="-10"/>
              </w:rPr>
              <w:object>
                <v:shape id="_x0000_i1112" o:spt="75" type="#_x0000_t75" style="height:15.9pt;width:10.9pt;" o:ole="t" filled="f" o:preferrelative="t" stroked="f" coordsize="21600,21600">
                  <v:path/>
                  <v:fill on="f" focussize="0,0"/>
                  <v:stroke on="f" joinstyle="miter"/>
                  <v:imagedata r:id="rId198" o:title=""/>
                  <o:lock v:ext="edit" aspectratio="t"/>
                  <w10:wrap type="none"/>
                  <w10:anchorlock/>
                </v:shape>
                <o:OLEObject Type="Embed" ProgID="Equation.DSMT4" ShapeID="_x0000_i1112" DrawAspect="Content" ObjectID="_1468075812" r:id="rId197">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混凝土的轴心抗压强度设计值；</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rPr>
                <w:sz w:val="20"/>
                <w:szCs w:val="20"/>
              </w:rPr>
            </w:pPr>
            <w:r>
              <w:rPr>
                <w:position w:val="-10"/>
              </w:rPr>
              <w:object>
                <v:shape id="_x0000_i1113" o:spt="75" type="#_x0000_t75" style="height:17.6pt;width:10.9pt;" o:ole="t" filled="f" o:preferrelative="t" stroked="f" coordsize="21600,21600">
                  <v:path/>
                  <v:fill on="f" focussize="0,0"/>
                  <v:stroke on="f" joinstyle="miter"/>
                  <v:imagedata r:id="rId200" o:title=""/>
                  <o:lock v:ext="edit" aspectratio="t"/>
                  <w10:wrap type="none"/>
                  <w10:anchorlock/>
                </v:shape>
                <o:OLEObject Type="Embed" ProgID="Equation.DSMT4" ShapeID="_x0000_i1113" DrawAspect="Content" ObjectID="_1468075813" r:id="rId199">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钢材的屈服强度设计值；</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pPr>
            <w:r>
              <w:rPr>
                <w:position w:val="-10"/>
              </w:rPr>
              <w:object>
                <v:shape id="_x0000_i1114" o:spt="75" type="#_x0000_t75" style="height:15.9pt;width:14.25pt;" o:ole="t" filled="f" o:preferrelative="t" stroked="f" coordsize="21600,21600">
                  <v:path/>
                  <v:fill on="f" focussize="0,0"/>
                  <v:stroke on="f" joinstyle="miter"/>
                  <v:imagedata r:id="rId202" o:title=""/>
                  <o:lock v:ext="edit" aspectratio="t"/>
                  <w10:wrap type="none"/>
                  <w10:anchorlock/>
                </v:shape>
                <o:OLEObject Type="Embed" ProgID="Equation.DSMT4" ShapeID="_x0000_i1114" DrawAspect="Content" ObjectID="_1468075814" r:id="rId201">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剪力墙截面的混凝土面积；</w:t>
            </w:r>
          </w:p>
        </w:tc>
      </w:tr>
      <w:tr>
        <w:tblPrEx>
          <w:tblCellMar>
            <w:top w:w="0" w:type="dxa"/>
            <w:left w:w="108" w:type="dxa"/>
            <w:bottom w:w="0" w:type="dxa"/>
            <w:right w:w="108" w:type="dxa"/>
          </w:tblCellMar>
        </w:tblPrEx>
        <w:tc>
          <w:tcPr>
            <w:tcW w:w="851" w:type="dxa"/>
          </w:tcPr>
          <w:p>
            <w:pPr>
              <w:spacing w:line="440" w:lineRule="exact"/>
              <w:ind w:firstLine="0" w:firstLineChars="0"/>
            </w:pPr>
          </w:p>
        </w:tc>
        <w:tc>
          <w:tcPr>
            <w:tcW w:w="567" w:type="dxa"/>
          </w:tcPr>
          <w:p>
            <w:pPr>
              <w:spacing w:line="440" w:lineRule="exact"/>
              <w:ind w:firstLine="0" w:firstLineChars="0"/>
            </w:pPr>
            <w:r>
              <w:rPr>
                <w:position w:val="-10"/>
              </w:rPr>
              <w:object>
                <v:shape id="_x0000_i1115" o:spt="75" type="#_x0000_t75" style="height:15.9pt;width:11.7pt;" o:ole="t" filled="f" o:preferrelative="t" stroked="f" coordsize="21600,21600">
                  <v:path/>
                  <v:fill on="f" focussize="0,0"/>
                  <v:stroke on="f" joinstyle="miter"/>
                  <v:imagedata r:id="rId204" o:title=""/>
                  <o:lock v:ext="edit" aspectratio="t"/>
                  <w10:wrap type="none"/>
                  <w10:anchorlock/>
                </v:shape>
                <o:OLEObject Type="Embed" ProgID="Equation.3" ShapeID="_x0000_i1115" DrawAspect="Content" ObjectID="_1468075815" r:id="rId203">
                  <o:LockedField>false</o:LockedField>
                </o:OLEObject>
              </w:object>
            </w:r>
          </w:p>
        </w:tc>
        <w:tc>
          <w:tcPr>
            <w:tcW w:w="709" w:type="dxa"/>
          </w:tcPr>
          <w:p>
            <w:pPr>
              <w:spacing w:line="440" w:lineRule="exact"/>
              <w:ind w:firstLine="0" w:firstLineChars="0"/>
              <w:jc w:val="both"/>
            </w:pPr>
            <w:r>
              <w:t>——</w:t>
            </w:r>
          </w:p>
        </w:tc>
        <w:tc>
          <w:tcPr>
            <w:tcW w:w="6430" w:type="dxa"/>
          </w:tcPr>
          <w:p>
            <w:pPr>
              <w:spacing w:line="440" w:lineRule="exact"/>
              <w:ind w:firstLine="0" w:firstLineChars="0"/>
            </w:pPr>
            <w:r>
              <w:rPr>
                <w:rFonts w:hint="eastAsia"/>
              </w:rPr>
              <w:t>剪力墙截面的钢板总面积。</w:t>
            </w:r>
          </w:p>
        </w:tc>
      </w:tr>
    </w:tbl>
    <w:p>
      <w:pPr>
        <w:pStyle w:val="71"/>
        <w:ind w:firstLine="361"/>
      </w:pPr>
      <w:r>
        <w:rPr>
          <w:rFonts w:hint="eastAsia"/>
        </w:rPr>
        <w:t>表5.7.6  开孔钢板组合剪力墙肢轴压比限值</w: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959"/>
        <w:gridCol w:w="3868"/>
        <w:gridCol w:w="19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59" w:type="dxa"/>
            <w:tcBorders>
              <w:tl2br w:val="nil"/>
              <w:tr2bl w:val="nil"/>
            </w:tcBorders>
            <w:vAlign w:val="center"/>
          </w:tcPr>
          <w:p>
            <w:pPr>
              <w:pStyle w:val="94"/>
            </w:pPr>
            <w:r>
              <w:rPr>
                <w:rFonts w:hint="eastAsia"/>
              </w:rPr>
              <w:t>抗震等级</w:t>
            </w:r>
          </w:p>
        </w:tc>
        <w:tc>
          <w:tcPr>
            <w:tcW w:w="3868" w:type="dxa"/>
            <w:tcBorders>
              <w:tl2br w:val="nil"/>
              <w:tr2bl w:val="nil"/>
            </w:tcBorders>
            <w:vAlign w:val="center"/>
          </w:tcPr>
          <w:p>
            <w:pPr>
              <w:pStyle w:val="94"/>
            </w:pPr>
            <w:r>
              <w:rPr>
                <w:rFonts w:hint="eastAsia"/>
              </w:rPr>
              <w:t>一级（6、7度）</w:t>
            </w:r>
          </w:p>
        </w:tc>
        <w:tc>
          <w:tcPr>
            <w:tcW w:w="1987" w:type="dxa"/>
            <w:tcBorders>
              <w:tl2br w:val="nil"/>
              <w:tr2bl w:val="nil"/>
            </w:tcBorders>
            <w:vAlign w:val="center"/>
          </w:tcPr>
          <w:p>
            <w:pPr>
              <w:pStyle w:val="94"/>
            </w:pPr>
            <w:r>
              <w:rPr>
                <w:rFonts w:hint="eastAsia"/>
              </w:rPr>
              <w:t>二、三级</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959" w:type="dxa"/>
            <w:tcBorders>
              <w:tl2br w:val="nil"/>
              <w:tr2bl w:val="nil"/>
            </w:tcBorders>
            <w:vAlign w:val="center"/>
          </w:tcPr>
          <w:p>
            <w:pPr>
              <w:pStyle w:val="94"/>
            </w:pPr>
            <w:r>
              <w:rPr>
                <w:rFonts w:hint="eastAsia"/>
              </w:rPr>
              <w:t>轴压比限值</w:t>
            </w:r>
          </w:p>
        </w:tc>
        <w:tc>
          <w:tcPr>
            <w:tcW w:w="3868" w:type="dxa"/>
            <w:tcBorders>
              <w:tl2br w:val="nil"/>
              <w:tr2bl w:val="nil"/>
            </w:tcBorders>
            <w:vAlign w:val="center"/>
          </w:tcPr>
          <w:p>
            <w:pPr>
              <w:pStyle w:val="94"/>
            </w:pPr>
            <w:r>
              <w:rPr>
                <w:rFonts w:hint="eastAsia"/>
              </w:rPr>
              <w:t>0.5</w:t>
            </w:r>
          </w:p>
        </w:tc>
        <w:tc>
          <w:tcPr>
            <w:tcW w:w="1987" w:type="dxa"/>
            <w:tcBorders>
              <w:tl2br w:val="nil"/>
              <w:tr2bl w:val="nil"/>
            </w:tcBorders>
            <w:vAlign w:val="center"/>
          </w:tcPr>
          <w:p>
            <w:pPr>
              <w:pStyle w:val="94"/>
            </w:pPr>
            <w:r>
              <w:rPr>
                <w:rFonts w:hint="eastAsia"/>
              </w:rPr>
              <w:t>0.6</w:t>
            </w:r>
          </w:p>
        </w:tc>
      </w:tr>
    </w:tbl>
    <w:p>
      <w:pPr>
        <w:spacing w:line="240" w:lineRule="auto"/>
        <w:ind w:firstLine="360"/>
        <w:rPr>
          <w:sz w:val="18"/>
          <w:szCs w:val="18"/>
        </w:rPr>
      </w:pPr>
      <w:r>
        <w:rPr>
          <w:rFonts w:hint="eastAsia"/>
          <w:sz w:val="18"/>
          <w:szCs w:val="18"/>
        </w:rPr>
        <w:t>注：对于一字型开孔钢板组合剪力墙，轴压比限值宜降低0.1。</w:t>
      </w:r>
    </w:p>
    <w:p>
      <w:pPr>
        <w:pStyle w:val="74"/>
        <w:ind w:firstLine="400"/>
      </w:pPr>
      <w:r>
        <w:rPr>
          <w:rFonts w:hint="eastAsia"/>
        </w:rPr>
        <w:t>【条文说明】参考现行行业标准《组合结构设计规范》JGJ 138的第10.1.7条、《钢板剪力墙技术规程》JGJ/T 380的第7.2.4条和《高层建筑混凝土结构技术规程》JGJ 3的7.2.2第2条。轴压比的限值和抗震等级同现行国家标准《建筑抗震设计规范》GB 50011，但这里轴压比的计算中包含了钢板的贡献，因此相比钢筋混凝土剪力墙，轴压比限值放宽了。</w:t>
      </w:r>
    </w:p>
    <w:p>
      <w:pPr>
        <w:pStyle w:val="4"/>
        <w:keepNext w:val="0"/>
        <w:keepLines w:val="0"/>
        <w:ind w:left="0"/>
      </w:pPr>
      <w:r>
        <w:t>单个标准连接件的拉力</w:t>
      </w:r>
      <w:r>
        <w:rPr>
          <w:rFonts w:hint="eastAsia"/>
        </w:rPr>
        <w:t>设计值</w:t>
      </w:r>
      <w:r>
        <w:rPr>
          <w:i/>
        </w:rPr>
        <w:t>T</w:t>
      </w:r>
      <w:r>
        <w:rPr>
          <w:vertAlign w:val="subscript"/>
        </w:rPr>
        <w:t>st</w:t>
      </w:r>
      <w:r>
        <w:rPr>
          <w:rFonts w:hint="eastAsia"/>
        </w:rPr>
        <w:t>按下式验算：</w:t>
      </w:r>
    </w:p>
    <w:tbl>
      <w:tblPr>
        <w:tblStyle w:val="4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6161"/>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rPr>
                <w:position w:val="-12"/>
              </w:rPr>
            </w:pPr>
            <w:r>
              <w:rPr>
                <w:rFonts w:hint="eastAsia"/>
                <w:position w:val="-10"/>
                <w:sz w:val="21"/>
                <w:szCs w:val="21"/>
              </w:rPr>
              <w:object>
                <v:shape id="_x0000_i1116" o:spt="75" type="#_x0000_t75" style="height:17.6pt;width:35.15pt;" o:ole="t" filled="f" o:preferrelative="t" stroked="f" coordsize="21600,21600">
                  <v:path/>
                  <v:fill on="f" focussize="0,0"/>
                  <v:stroke on="f" joinstyle="miter"/>
                  <v:imagedata r:id="rId206" o:title=""/>
                  <o:lock v:ext="edit" aspectratio="t"/>
                  <w10:wrap type="none"/>
                  <w10:anchorlock/>
                </v:shape>
                <o:OLEObject Type="Embed" ProgID="Equation.DSMT4" ShapeID="_x0000_i1116" DrawAspect="Content" ObjectID="_1468075816" r:id="rId205">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（5.7.7-1）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rPr>
                <w:position w:val="-10"/>
              </w:rPr>
            </w:pPr>
            <w:r>
              <w:rPr>
                <w:rFonts w:hint="eastAsia"/>
                <w:position w:val="-10"/>
                <w:sz w:val="21"/>
                <w:szCs w:val="21"/>
              </w:rPr>
              <w:object>
                <v:shape id="_x0000_i1117" o:spt="75" type="#_x0000_t75" style="height:17.6pt;width:64.45pt;" o:ole="t" filled="f" o:preferrelative="t" stroked="f" coordsize="21600,21600">
                  <v:path/>
                  <v:fill on="f" focussize="0,0"/>
                  <v:stroke on="f" joinstyle="miter"/>
                  <v:imagedata r:id="rId208" o:title=""/>
                  <o:lock v:ext="edit" aspectratio="t"/>
                  <w10:wrap type="none"/>
                  <w10:anchorlock/>
                </v:shape>
                <o:OLEObject Type="Embed" ProgID="Equation.DSMT4" ShapeID="_x0000_i1117" DrawAspect="Content" ObjectID="_1468075817" r:id="rId207">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（5.7.7-2）</w:t>
            </w:r>
          </w:p>
        </w:tc>
      </w:tr>
    </w:tbl>
    <w:p>
      <w:pPr>
        <w:rPr>
          <w:sz w:val="24"/>
          <w:szCs w:val="24"/>
        </w:rPr>
      </w:pPr>
      <w:r>
        <w:rPr>
          <w:rFonts w:hint="eastAsia"/>
        </w:rPr>
        <w:t>单个标准连接件的抗拉承载力</w:t>
      </w:r>
      <w:r>
        <w:rPr>
          <w:i/>
          <w:iCs/>
        </w:rPr>
        <w:t>T</w:t>
      </w:r>
      <w:r>
        <w:rPr>
          <w:vertAlign w:val="subscript"/>
        </w:rPr>
        <w:t>ust</w:t>
      </w:r>
      <w:r>
        <w:rPr>
          <w:rFonts w:hint="eastAsia"/>
        </w:rPr>
        <w:t>应符合下列公式规定</w:t>
      </w:r>
      <w:r>
        <w:rPr>
          <w:rFonts w:hint="eastAsia"/>
          <w:sz w:val="24"/>
          <w:szCs w:val="24"/>
        </w:rPr>
        <w:t>：</w:t>
      </w:r>
    </w:p>
    <w:tbl>
      <w:tblPr>
        <w:tblStyle w:val="4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6161"/>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rPr>
                <w:position w:val="-12"/>
              </w:rPr>
            </w:pPr>
            <w:r>
              <w:rPr>
                <w:rFonts w:hint="eastAsia"/>
                <w:position w:val="-10"/>
                <w:sz w:val="21"/>
                <w:szCs w:val="21"/>
              </w:rPr>
              <w:object>
                <v:shape id="_x0000_i1118" o:spt="75" type="#_x0000_t75" style="height:17.6pt;width:73.65pt;" o:ole="t" filled="f" o:preferrelative="t" stroked="f" coordsize="21600,21600">
                  <v:path/>
                  <v:fill on="f" focussize="0,0"/>
                  <v:stroke on="f" joinstyle="miter"/>
                  <v:imagedata r:id="rId210" o:title=""/>
                  <o:lock v:ext="edit" aspectratio="t"/>
                  <w10:wrap type="none"/>
                  <w10:anchorlock/>
                </v:shape>
                <o:OLEObject Type="Embed" ProgID="Equation.DSMT4" ShapeID="_x0000_i1118" DrawAspect="Content" ObjectID="_1468075818" r:id="rId209">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（5.7.7-3）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pPr>
            <w:r>
              <w:rPr>
                <w:rFonts w:hint="eastAsia"/>
                <w:position w:val="-10"/>
                <w:sz w:val="21"/>
                <w:szCs w:val="21"/>
              </w:rPr>
              <w:object>
                <v:shape id="_x0000_i1119" o:spt="75" type="#_x0000_t75" style="height:17.6pt;width:46.9pt;" o:ole="t" filled="f" o:preferrelative="t" stroked="f" coordsize="21600,21600">
                  <v:path/>
                  <v:fill on="f" focussize="0,0"/>
                  <v:stroke on="f" joinstyle="miter"/>
                  <v:imagedata r:id="rId212" o:title=""/>
                  <o:lock v:ext="edit" aspectratio="t"/>
                  <w10:wrap type="none"/>
                  <w10:anchorlock/>
                </v:shape>
                <o:OLEObject Type="Embed" ProgID="Equation.DSMT4" ShapeID="_x0000_i1119" DrawAspect="Content" ObjectID="_1468075819" r:id="rId211">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（5.7.7-4）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401" w:type="dxa"/>
            <w:tcBorders>
              <w:tl2br w:val="nil"/>
              <w:tr2bl w:val="nil"/>
            </w:tcBorders>
          </w:tcPr>
          <w:p>
            <w:pPr>
              <w:spacing w:line="440" w:lineRule="exact"/>
              <w:ind w:firstLine="360"/>
            </w:pPr>
          </w:p>
        </w:tc>
        <w:tc>
          <w:tcPr>
            <w:tcW w:w="6161" w:type="dxa"/>
            <w:tcBorders>
              <w:tl2br w:val="nil"/>
              <w:tr2bl w:val="nil"/>
            </w:tcBorders>
          </w:tcPr>
          <w:p>
            <w:pPr>
              <w:spacing w:line="440" w:lineRule="exact"/>
              <w:ind w:firstLine="0" w:firstLineChars="0"/>
              <w:jc w:val="center"/>
            </w:pPr>
            <w:r>
              <w:rPr>
                <w:rFonts w:hint="eastAsia"/>
                <w:position w:val="-10"/>
                <w:sz w:val="21"/>
                <w:szCs w:val="21"/>
              </w:rPr>
              <w:object>
                <v:shape id="_x0000_i1120" o:spt="75" type="#_x0000_t75" style="height:17.6pt;width:57.75pt;" o:ole="t" filled="f" o:preferrelative="t" stroked="f" coordsize="21600,21600">
                  <v:path/>
                  <v:fill on="f" focussize="0,0"/>
                  <v:stroke on="f" joinstyle="miter"/>
                  <v:imagedata r:id="rId214" o:title=""/>
                  <o:lock v:ext="edit" aspectratio="t"/>
                  <w10:wrap type="none"/>
                  <w10:anchorlock/>
                </v:shape>
                <o:OLEObject Type="Embed" ProgID="Equation.DSMT4" ShapeID="_x0000_i1120" DrawAspect="Content" ObjectID="_1468075820" r:id="rId213">
                  <o:LockedField>false</o:LockedField>
                </o:OLEObject>
              </w:object>
            </w:r>
          </w:p>
        </w:tc>
        <w:tc>
          <w:tcPr>
            <w:tcW w:w="1282" w:type="dxa"/>
            <w:tcBorders>
              <w:tl2br w:val="nil"/>
              <w:tr2bl w:val="nil"/>
            </w:tcBorders>
          </w:tcPr>
          <w:p>
            <w:pPr>
              <w:spacing w:line="440" w:lineRule="exact"/>
              <w:ind w:firstLine="0" w:firstLineChars="0"/>
              <w:jc w:val="right"/>
            </w:pPr>
            <w:r>
              <w:rPr>
                <w:rFonts w:hint="eastAsia"/>
              </w:rPr>
              <w:t>（5.7.7-5）</w:t>
            </w:r>
          </w:p>
        </w:tc>
      </w:tr>
    </w:tbl>
    <w:tbl>
      <w:tblPr>
        <w:tblStyle w:val="43"/>
        <w:tblW w:w="8415" w:type="dxa"/>
        <w:tblInd w:w="108" w:type="dxa"/>
        <w:tblLayout w:type="fixed"/>
        <w:tblCellMar>
          <w:top w:w="0" w:type="dxa"/>
          <w:left w:w="108" w:type="dxa"/>
          <w:bottom w:w="0" w:type="dxa"/>
          <w:right w:w="108" w:type="dxa"/>
        </w:tblCellMar>
      </w:tblPr>
      <w:tblGrid>
        <w:gridCol w:w="851"/>
        <w:gridCol w:w="567"/>
        <w:gridCol w:w="709"/>
        <w:gridCol w:w="6288"/>
      </w:tblGrid>
      <w:tr>
        <w:tblPrEx>
          <w:tblCellMar>
            <w:top w:w="0" w:type="dxa"/>
            <w:left w:w="108" w:type="dxa"/>
            <w:bottom w:w="0" w:type="dxa"/>
            <w:right w:w="108" w:type="dxa"/>
          </w:tblCellMar>
        </w:tblPrEx>
        <w:tc>
          <w:tcPr>
            <w:tcW w:w="851" w:type="dxa"/>
            <w:vAlign w:val="center"/>
          </w:tcPr>
          <w:p>
            <w:pPr>
              <w:spacing w:line="440" w:lineRule="exact"/>
              <w:ind w:firstLine="0" w:firstLineChars="0"/>
              <w:jc w:val="both"/>
            </w:pPr>
            <w:r>
              <w:rPr>
                <w:rFonts w:hint="eastAsia"/>
              </w:rPr>
              <w:t>式中</w:t>
            </w:r>
            <w:r>
              <w:t>：</w:t>
            </w:r>
          </w:p>
        </w:tc>
        <w:tc>
          <w:tcPr>
            <w:tcW w:w="567" w:type="dxa"/>
            <w:vAlign w:val="center"/>
          </w:tcPr>
          <w:p>
            <w:pPr>
              <w:spacing w:line="440" w:lineRule="exact"/>
              <w:ind w:firstLine="0" w:firstLineChars="0"/>
              <w:jc w:val="both"/>
              <w:rPr>
                <w:rFonts w:eastAsiaTheme="minorEastAsia"/>
                <w:sz w:val="20"/>
                <w:szCs w:val="20"/>
              </w:rPr>
            </w:pPr>
            <w:r>
              <w:rPr>
                <w:position w:val="-10"/>
              </w:rPr>
              <w:object>
                <v:shape id="_x0000_i1121" o:spt="75" type="#_x0000_t75" style="height:15.05pt;width:14.25pt;" o:ole="t" filled="f" o:preferrelative="t" stroked="f" coordsize="21600,21600">
                  <v:path/>
                  <v:fill on="f" focussize="0,0"/>
                  <v:stroke on="f" joinstyle="miter"/>
                  <v:imagedata r:id="rId216" o:title=""/>
                  <o:lock v:ext="edit" aspectratio="t"/>
                  <w10:wrap type="none"/>
                  <w10:anchorlock/>
                </v:shape>
                <o:OLEObject Type="Embed" ProgID="Equation.DSMT4" ShapeID="_x0000_i1121" DrawAspect="Content" ObjectID="_1468075821" r:id="rId215">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标准连接件拉力系数</w:t>
            </w:r>
            <w:r>
              <w:rPr>
                <w:rFonts w:hint="eastAsia"/>
                <w:kern w:val="0"/>
              </w:rPr>
              <w:t>，可取为0.03；</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position w:val="-10"/>
              </w:rPr>
              <w:object>
                <v:shape id="_x0000_i1122" o:spt="75" type="#_x0000_t75" style="height:15.9pt;width:15.05pt;" o:ole="t" filled="f" o:preferrelative="t" stroked="f" coordsize="21600,21600">
                  <v:path/>
                  <v:fill on="f" focussize="0,0"/>
                  <v:stroke on="f" joinstyle="miter"/>
                  <v:imagedata r:id="rId218" o:title=""/>
                  <o:lock v:ext="edit" aspectratio="t"/>
                  <w10:wrap type="none"/>
                  <w10:anchorlock/>
                </v:shape>
                <o:OLEObject Type="Embed" ProgID="Equation.DSMT4" ShapeID="_x0000_i1122" DrawAspect="Content" ObjectID="_1468075822" r:id="rId217">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开孔钢板组合剪力墙单片钢板的厚度；</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position w:val="-10"/>
              </w:rPr>
              <w:object>
                <v:shape id="_x0000_i1123" o:spt="75" type="#_x0000_t75" style="height:15.9pt;width:15.9pt;" o:ole="t" filled="f" o:preferrelative="t" stroked="f" coordsize="21600,21600">
                  <v:path/>
                  <v:fill on="f" focussize="0,0"/>
                  <v:stroke on="f" joinstyle="miter"/>
                  <v:imagedata r:id="rId220" o:title=""/>
                  <o:lock v:ext="edit" aspectratio="t"/>
                  <w10:wrap type="none"/>
                  <w10:anchorlock/>
                </v:shape>
                <o:OLEObject Type="Embed" ProgID="Equation.DSMT4" ShapeID="_x0000_i1123" DrawAspect="Content" ObjectID="_1468075823" r:id="rId219">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标准连接件水平方向的间距；</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position w:val="-10"/>
              </w:rPr>
              <w:object>
                <v:shape id="_x0000_i1124" o:spt="75" type="#_x0000_t75" style="height:14.25pt;width:10.05pt;" o:ole="t" filled="f" o:preferrelative="t" stroked="f" coordsize="21600,21600">
                  <v:path/>
                  <v:fill on="f" focussize="0,0"/>
                  <v:stroke on="f" joinstyle="miter"/>
                  <v:imagedata r:id="rId222" o:title=""/>
                  <o:lock v:ext="edit" aspectratio="t"/>
                  <w10:wrap type="none"/>
                  <w10:anchorlock/>
                </v:shape>
                <o:OLEObject Type="Embed" ProgID="Equation.DSMT4" ShapeID="_x0000_i1124" DrawAspect="Content" ObjectID="_1468075824" r:id="rId221">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钢板的屈服强度设计值；</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position w:val="-10"/>
              </w:rPr>
              <w:object>
                <v:shape id="_x0000_i1125" o:spt="75" type="#_x0000_t75" style="height:14.25pt;width:10.9pt;" o:ole="t" filled="f" o:preferrelative="t" stroked="f" coordsize="21600,21600">
                  <v:path/>
                  <v:fill on="f" focussize="0,0"/>
                  <v:stroke on="f" joinstyle="miter"/>
                  <v:imagedata r:id="rId224" o:title=""/>
                  <o:lock v:ext="edit" aspectratio="t"/>
                  <w10:wrap type="none"/>
                  <w10:anchorlock/>
                </v:shape>
                <o:OLEObject Type="Embed" ProgID="Equation.DSMT4" ShapeID="_x0000_i1125" DrawAspect="Content" ObjectID="_1468075825" r:id="rId223">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混凝土的抗压强度设计值；</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position w:val="-10"/>
              </w:rPr>
              <w:object>
                <v:shape id="_x0000_i1126" o:spt="75" type="#_x0000_t75" style="height:15.05pt;width:15.05pt;" o:ole="t" filled="f" o:preferrelative="t" stroked="f" coordsize="21600,21600">
                  <v:path/>
                  <v:fill on="f" focussize="0,0"/>
                  <v:stroke on="f" joinstyle="miter"/>
                  <v:imagedata r:id="rId226" o:title=""/>
                  <o:lock v:ext="edit" aspectratio="t"/>
                  <w10:wrap type="none"/>
                  <w10:anchorlock/>
                </v:shape>
                <o:OLEObject Type="Embed" ProgID="Equation.DSMT4" ShapeID="_x0000_i1126" DrawAspect="Content" ObjectID="_1468075826" r:id="rId225">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考虑标准连接件间距影响的调整系数，当</w:t>
            </w:r>
            <w:r>
              <w:rPr>
                <w:position w:val="-10"/>
              </w:rPr>
              <w:object>
                <v:shape id="_x0000_i1127" o:spt="75" type="#_x0000_t75" style="height:15.05pt;width:37.65pt;" o:ole="t" filled="f" o:preferrelative="t" stroked="f" coordsize="21600,21600">
                  <v:path/>
                  <v:fill on="f" focussize="0,0"/>
                  <v:stroke on="f" joinstyle="miter"/>
                  <v:imagedata r:id="rId228" o:title=""/>
                  <o:lock v:ext="edit" aspectratio="t"/>
                  <w10:wrap type="none"/>
                  <w10:anchorlock/>
                </v:shape>
                <o:OLEObject Type="Embed" ProgID="Equation.DSMT4" ShapeID="_x0000_i1127" DrawAspect="Content" ObjectID="_1468075827" r:id="rId227">
                  <o:LockedField>false</o:LockedField>
                </o:OLEObject>
              </w:object>
            </w:r>
            <w:r>
              <w:rPr>
                <w:rFonts w:hint="eastAsia"/>
              </w:rPr>
              <w:t>时，取</w:t>
            </w:r>
            <w:r>
              <w:rPr>
                <w:position w:val="-10"/>
              </w:rPr>
              <w:object>
                <v:shape id="_x0000_i1128" o:spt="75" type="#_x0000_t75" style="height:15.05pt;width:29.3pt;" o:ole="t" filled="f" o:preferrelative="t" stroked="f" coordsize="21600,21600">
                  <v:path/>
                  <v:fill on="f" focussize="0,0"/>
                  <v:stroke on="f" joinstyle="miter"/>
                  <v:imagedata r:id="rId230" o:title=""/>
                  <o:lock v:ext="edit" aspectratio="t"/>
                  <w10:wrap type="none"/>
                  <w10:anchorlock/>
                </v:shape>
                <o:OLEObject Type="Embed" ProgID="Equation.DSMT4" ShapeID="_x0000_i1128" DrawAspect="Content" ObjectID="_1468075828" r:id="rId229">
                  <o:LockedField>false</o:LockedField>
                </o:OLEObject>
              </w:object>
            </w:r>
            <w:r>
              <w:rPr>
                <w:rFonts w:hint="eastAsia"/>
              </w:rPr>
              <w:t>；当</w:t>
            </w:r>
            <w:r>
              <w:rPr>
                <w:position w:val="-10"/>
              </w:rPr>
              <w:object>
                <v:shape id="_x0000_i1129" o:spt="75" type="#_x0000_t75" style="height:15.05pt;width:37.65pt;" o:ole="t" filled="f" o:preferrelative="t" stroked="f" coordsize="21600,21600">
                  <v:path/>
                  <v:fill on="f" focussize="0,0"/>
                  <v:stroke on="f" joinstyle="miter"/>
                  <v:imagedata r:id="rId232" o:title=""/>
                  <o:lock v:ext="edit" aspectratio="t"/>
                  <w10:wrap type="none"/>
                  <w10:anchorlock/>
                </v:shape>
                <o:OLEObject Type="Embed" ProgID="Equation.DSMT4" ShapeID="_x0000_i1129" DrawAspect="Content" ObjectID="_1468075829" r:id="rId231">
                  <o:LockedField>false</o:LockedField>
                </o:OLEObject>
              </w:object>
            </w:r>
            <w:r>
              <w:rPr>
                <w:rFonts w:hint="eastAsia"/>
              </w:rPr>
              <w:t>时，按照本标准公式（5.7.7-5）计算；</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position w:val="-10"/>
              </w:rPr>
            </w:pPr>
            <w:r>
              <w:rPr>
                <w:position w:val="-10"/>
              </w:rPr>
              <w:object>
                <v:shape id="_x0000_i1130" o:spt="75" type="#_x0000_t75" style="height:14.25pt;width:12.55pt;" o:ole="t" filled="f" o:preferrelative="t" stroked="f" coordsize="21600,21600">
                  <v:path/>
                  <v:fill on="f" focussize="0,0"/>
                  <v:stroke on="f" joinstyle="miter"/>
                  <v:imagedata r:id="rId234" o:title=""/>
                  <o:lock v:ext="edit" aspectratio="t"/>
                  <w10:wrap type="none"/>
                  <w10:anchorlock/>
                </v:shape>
                <o:OLEObject Type="Embed" ProgID="Equation.DSMT4" ShapeID="_x0000_i1130" DrawAspect="Content" ObjectID="_1468075830" r:id="rId233">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pPr>
            <w:r>
              <w:rPr>
                <w:rFonts w:hint="eastAsia"/>
              </w:rPr>
              <w:t>标准连接件螺杆的长度，可近似取为墙厚；</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position w:val="-10"/>
              </w:rPr>
            </w:pPr>
            <w:r>
              <w:rPr>
                <w:position w:val="-10"/>
              </w:rPr>
              <w:object>
                <v:shape id="_x0000_i1131" o:spt="75" type="#_x0000_t75" style="height:14.25pt;width:14.25pt;" o:ole="t" filled="f" o:preferrelative="t" stroked="f" coordsize="21600,21600">
                  <v:path/>
                  <v:fill on="f" focussize="0,0"/>
                  <v:stroke on="f" joinstyle="miter"/>
                  <v:imagedata r:id="rId236" o:title=""/>
                  <o:lock v:ext="edit" aspectratio="t"/>
                  <w10:wrap type="none"/>
                  <w10:anchorlock/>
                </v:shape>
                <o:OLEObject Type="Embed" ProgID="Equation.DSMT4" ShapeID="_x0000_i1131" DrawAspect="Content" ObjectID="_1468075831" r:id="rId235">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标准连接件螺杆的截面积；</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position w:val="-10"/>
              </w:rPr>
            </w:pPr>
            <w:r>
              <w:rPr>
                <w:position w:val="-10"/>
              </w:rPr>
              <w:object>
                <v:shape id="_x0000_i1132" o:spt="75" type="#_x0000_t75" style="height:14.25pt;width:11.7pt;" o:ole="t" filled="f" o:preferrelative="t" stroked="f" coordsize="21600,21600">
                  <v:path/>
                  <v:fill on="f" focussize="0,0"/>
                  <v:stroke on="f" joinstyle="miter"/>
                  <v:imagedata r:id="rId238" o:title=""/>
                  <o:lock v:ext="edit" aspectratio="t"/>
                  <w10:wrap type="none"/>
                  <w10:anchorlock/>
                </v:shape>
                <o:OLEObject Type="Embed" ProgID="Equation.DSMT4" ShapeID="_x0000_i1132" DrawAspect="Content" ObjectID="_1468075832" r:id="rId237">
                  <o:LockedField>false</o:LockedField>
                </o:OLEObject>
              </w:object>
            </w:r>
          </w:p>
        </w:tc>
        <w:tc>
          <w:tcPr>
            <w:tcW w:w="709" w:type="dxa"/>
            <w:vAlign w:val="center"/>
          </w:tcPr>
          <w:p>
            <w:pPr>
              <w:spacing w:line="440" w:lineRule="exact"/>
              <w:ind w:firstLine="0" w:firstLineChars="0"/>
              <w:jc w:val="both"/>
            </w:pPr>
            <w:r>
              <w:t>——</w:t>
            </w:r>
          </w:p>
        </w:tc>
        <w:tc>
          <w:tcPr>
            <w:tcW w:w="6288" w:type="dxa"/>
            <w:vAlign w:val="center"/>
          </w:tcPr>
          <w:p>
            <w:pPr>
              <w:spacing w:line="440" w:lineRule="exact"/>
              <w:ind w:firstLine="0" w:firstLineChars="0"/>
              <w:jc w:val="both"/>
            </w:pPr>
            <w:r>
              <w:rPr>
                <w:rFonts w:hint="eastAsia"/>
              </w:rPr>
              <w:t>标准连接件屈服强度设计值。</w:t>
            </w:r>
          </w:p>
        </w:tc>
      </w:tr>
    </w:tbl>
    <w:p>
      <w:pPr>
        <w:pStyle w:val="74"/>
        <w:widowControl w:val="0"/>
        <w:ind w:firstLine="400"/>
      </w:pPr>
      <w:r>
        <w:rPr>
          <w:rFonts w:hint="eastAsia"/>
        </w:rPr>
        <w:t>【条文说明】标准连接件的作用是使外包钢板和内填混凝土形成整体，防止两者相互分离。在压应力作用下，钢板具有向外发生局部屈曲的趋势，从而使标准连接件承担拉力，该拉力与标准连接件作用范围内钢板的压应力的合力呈正相关。标准连接件受拉承载力计算参考现行美国规范《Building Code Requirements for Structural Concrete and Commentary》ACI 318。</w:t>
      </w:r>
    </w:p>
    <w:p>
      <w:pPr>
        <w:pStyle w:val="3"/>
        <w:keepNext w:val="0"/>
        <w:keepLines w:val="0"/>
        <w:spacing w:before="156" w:after="156"/>
        <w:ind w:firstLine="482"/>
      </w:pPr>
      <w:bookmarkStart w:id="51" w:name="_Toc36207161"/>
      <w:bookmarkStart w:id="52" w:name="_Toc5381"/>
      <w:r>
        <w:t>节点</w:t>
      </w:r>
      <w:r>
        <w:rPr>
          <w:rFonts w:hint="eastAsia"/>
        </w:rPr>
        <w:t>连接</w:t>
      </w:r>
      <w:r>
        <w:t>设计和构造</w:t>
      </w:r>
      <w:bookmarkEnd w:id="51"/>
      <w:bookmarkEnd w:id="52"/>
    </w:p>
    <w:p>
      <w:pPr>
        <w:pStyle w:val="4"/>
        <w:keepNext w:val="0"/>
        <w:keepLines w:val="0"/>
        <w:ind w:left="0"/>
      </w:pPr>
      <w:r>
        <w:rPr>
          <w:rFonts w:hint="eastAsia"/>
        </w:rPr>
        <w:t>开孔钢板组合剪力墙与钢梁或连梁的连接设计应符合下列规定：</w:t>
      </w:r>
    </w:p>
    <w:p>
      <w:pPr>
        <w:ind w:firstLine="316" w:firstLineChars="150"/>
      </w:pPr>
      <w:r>
        <w:rPr>
          <w:rFonts w:hint="eastAsia"/>
          <w:b/>
          <w:bCs/>
        </w:rPr>
        <w:t>1</w:t>
      </w:r>
      <w:r>
        <w:rPr>
          <w:rFonts w:hint="eastAsia"/>
        </w:rPr>
        <w:t xml:space="preserve"> 开孔钢板组合剪力墙与框架梁的连接节点，不应先于开孔钢板组合剪力墙和框架梁破坏。</w:t>
      </w:r>
    </w:p>
    <w:p>
      <w:pPr>
        <w:ind w:firstLine="316" w:firstLineChars="150"/>
      </w:pPr>
      <w:r>
        <w:rPr>
          <w:rFonts w:hint="eastAsia"/>
          <w:b/>
          <w:bCs/>
        </w:rPr>
        <w:t>2</w:t>
      </w:r>
      <w:r>
        <w:rPr>
          <w:rFonts w:hint="eastAsia"/>
        </w:rPr>
        <w:t xml:space="preserve"> 开孔钢板组合剪力墙不应先于与之相连的周边框架梁或连梁破坏。</w:t>
      </w:r>
    </w:p>
    <w:p>
      <w:pPr>
        <w:pStyle w:val="4"/>
        <w:keepNext w:val="0"/>
        <w:keepLines w:val="0"/>
        <w:ind w:left="0"/>
      </w:pPr>
      <w:r>
        <w:rPr>
          <w:rFonts w:hint="eastAsia"/>
          <w:bCs w:val="0"/>
          <w:szCs w:val="21"/>
        </w:rPr>
        <w:t>开孔</w:t>
      </w:r>
      <w:r>
        <w:rPr>
          <w:bCs w:val="0"/>
          <w:szCs w:val="21"/>
        </w:rPr>
        <w:t>钢板</w:t>
      </w:r>
      <w:r>
        <w:rPr>
          <w:rFonts w:hint="eastAsia"/>
          <w:bCs w:val="0"/>
          <w:szCs w:val="21"/>
        </w:rPr>
        <w:t>组合</w:t>
      </w:r>
      <w:r>
        <w:rPr>
          <w:bCs w:val="0"/>
          <w:szCs w:val="21"/>
        </w:rPr>
        <w:t>剪力墙</w:t>
      </w:r>
      <w:r>
        <w:t>承受竖向荷载时，节点及连接设计计算应考</w:t>
      </w:r>
      <w:r>
        <w:rPr>
          <w:rFonts w:hint="eastAsia"/>
        </w:rPr>
        <w:t>虑竖向荷载的影响。</w:t>
      </w:r>
    </w:p>
    <w:p>
      <w:pPr>
        <w:pStyle w:val="4"/>
        <w:keepNext w:val="0"/>
        <w:keepLines w:val="0"/>
        <w:ind w:left="0"/>
      </w:pPr>
      <w:r>
        <w:rPr>
          <w:rFonts w:hint="eastAsia"/>
        </w:rPr>
        <w:t>开孔钢板组合剪力墙宜</w:t>
      </w:r>
      <w:r>
        <w:t>选用埋入式墙脚</w:t>
      </w:r>
      <w:r>
        <w:rPr>
          <w:rFonts w:hint="eastAsia"/>
        </w:rPr>
        <w:t>（图5</w:t>
      </w:r>
      <w:r>
        <w:t>.</w:t>
      </w:r>
      <w:r>
        <w:rPr>
          <w:rFonts w:hint="eastAsia"/>
        </w:rPr>
        <w:t>8</w:t>
      </w:r>
      <w:r>
        <w:t>.</w:t>
      </w:r>
      <w:r>
        <w:rPr>
          <w:rFonts w:hint="eastAsia"/>
        </w:rPr>
        <w:t>3）</w:t>
      </w:r>
      <w:r>
        <w:t>。</w:t>
      </w:r>
    </w:p>
    <w:tbl>
      <w:tblPr>
        <w:tblStyle w:val="43"/>
        <w:tblW w:w="8528" w:type="dxa"/>
        <w:jc w:val="center"/>
        <w:tblLayout w:type="fixed"/>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jc w:val="center"/>
        </w:trPr>
        <w:tc>
          <w:tcPr>
            <w:tcW w:w="8528" w:type="dxa"/>
            <w:vAlign w:val="center"/>
          </w:tcPr>
          <w:p>
            <w:pPr>
              <w:spacing w:line="240" w:lineRule="auto"/>
              <w:jc w:val="center"/>
              <w:rPr>
                <w:b/>
                <w:sz w:val="24"/>
                <w:szCs w:val="24"/>
              </w:rPr>
            </w:pPr>
            <w:r>
              <w:drawing>
                <wp:inline distT="0" distB="0" distL="0" distR="0">
                  <wp:extent cx="2860675" cy="2519680"/>
                  <wp:effectExtent l="0" t="0" r="15875" b="1397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pic:cNvPicPr>
                        </pic:nvPicPr>
                        <pic:blipFill>
                          <a:blip r:embed="rId239"/>
                          <a:stretch>
                            <a:fillRect/>
                          </a:stretch>
                        </pic:blipFill>
                        <pic:spPr>
                          <a:xfrm>
                            <a:off x="0" y="0"/>
                            <a:ext cx="2861077" cy="2520000"/>
                          </a:xfrm>
                          <a:prstGeom prst="rect">
                            <a:avLst/>
                          </a:prstGeom>
                        </pic:spPr>
                      </pic:pic>
                    </a:graphicData>
                  </a:graphic>
                </wp:inline>
              </w:drawing>
            </w:r>
          </w:p>
        </w:tc>
      </w:tr>
      <w:tr>
        <w:tblPrEx>
          <w:tblCellMar>
            <w:top w:w="0" w:type="dxa"/>
            <w:left w:w="108" w:type="dxa"/>
            <w:bottom w:w="0" w:type="dxa"/>
            <w:right w:w="108" w:type="dxa"/>
          </w:tblCellMar>
        </w:tblPrEx>
        <w:trPr>
          <w:jc w:val="center"/>
        </w:trPr>
        <w:tc>
          <w:tcPr>
            <w:tcW w:w="8528" w:type="dxa"/>
            <w:vAlign w:val="center"/>
          </w:tcPr>
          <w:p>
            <w:pPr>
              <w:pStyle w:val="88"/>
              <w:ind w:firstLine="360"/>
              <w:rPr>
                <w:szCs w:val="24"/>
              </w:rPr>
            </w:pPr>
            <w:r>
              <w:rPr>
                <w:rFonts w:hint="eastAsia"/>
              </w:rPr>
              <w:t>（a）立面图</w:t>
            </w:r>
          </w:p>
        </w:tc>
      </w:tr>
      <w:tr>
        <w:tblPrEx>
          <w:tblCellMar>
            <w:top w:w="0" w:type="dxa"/>
            <w:left w:w="108" w:type="dxa"/>
            <w:bottom w:w="0" w:type="dxa"/>
            <w:right w:w="108" w:type="dxa"/>
          </w:tblCellMar>
        </w:tblPrEx>
        <w:trPr>
          <w:jc w:val="center"/>
        </w:trPr>
        <w:tc>
          <w:tcPr>
            <w:tcW w:w="8528" w:type="dxa"/>
            <w:vAlign w:val="center"/>
          </w:tcPr>
          <w:p>
            <w:pPr>
              <w:spacing w:line="240" w:lineRule="auto"/>
              <w:jc w:val="center"/>
              <w:rPr>
                <w:sz w:val="24"/>
                <w:szCs w:val="24"/>
              </w:rPr>
            </w:pPr>
            <w:r>
              <w:drawing>
                <wp:inline distT="0" distB="0" distL="0" distR="0">
                  <wp:extent cx="3331845" cy="1439545"/>
                  <wp:effectExtent l="0" t="0" r="1905" b="8255"/>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pic:cNvPicPr>
                        </pic:nvPicPr>
                        <pic:blipFill>
                          <a:blip r:embed="rId240"/>
                          <a:srcRect t="5524" b="12423"/>
                          <a:stretch>
                            <a:fillRect/>
                          </a:stretch>
                        </pic:blipFill>
                        <pic:spPr>
                          <a:xfrm>
                            <a:off x="0" y="0"/>
                            <a:ext cx="3332474" cy="1440000"/>
                          </a:xfrm>
                          <a:prstGeom prst="rect">
                            <a:avLst/>
                          </a:prstGeom>
                          <a:ln>
                            <a:noFill/>
                          </a:ln>
                        </pic:spPr>
                      </pic:pic>
                    </a:graphicData>
                  </a:graphic>
                </wp:inline>
              </w:drawing>
            </w:r>
          </w:p>
        </w:tc>
      </w:tr>
      <w:tr>
        <w:tblPrEx>
          <w:tblCellMar>
            <w:top w:w="0" w:type="dxa"/>
            <w:left w:w="108" w:type="dxa"/>
            <w:bottom w:w="0" w:type="dxa"/>
            <w:right w:w="108" w:type="dxa"/>
          </w:tblCellMar>
        </w:tblPrEx>
        <w:trPr>
          <w:jc w:val="center"/>
        </w:trPr>
        <w:tc>
          <w:tcPr>
            <w:tcW w:w="8528" w:type="dxa"/>
            <w:vAlign w:val="center"/>
          </w:tcPr>
          <w:p>
            <w:pPr>
              <w:pStyle w:val="88"/>
              <w:ind w:firstLine="360"/>
              <w:rPr>
                <w:szCs w:val="24"/>
              </w:rPr>
            </w:pPr>
            <w:r>
              <w:rPr>
                <w:rFonts w:hint="eastAsia"/>
              </w:rPr>
              <w:t>（b）平面图</w:t>
            </w:r>
          </w:p>
        </w:tc>
      </w:tr>
      <w:tr>
        <w:tblPrEx>
          <w:tblCellMar>
            <w:top w:w="0" w:type="dxa"/>
            <w:left w:w="108" w:type="dxa"/>
            <w:bottom w:w="0" w:type="dxa"/>
            <w:right w:w="108" w:type="dxa"/>
          </w:tblCellMar>
        </w:tblPrEx>
        <w:trPr>
          <w:jc w:val="center"/>
        </w:trPr>
        <w:tc>
          <w:tcPr>
            <w:tcW w:w="8528" w:type="dxa"/>
            <w:vAlign w:val="center"/>
          </w:tcPr>
          <w:p>
            <w:pPr>
              <w:pStyle w:val="80"/>
              <w:ind w:firstLine="361"/>
              <w:rPr>
                <w:bCs/>
                <w:szCs w:val="32"/>
              </w:rPr>
            </w:pPr>
            <w:r>
              <w:rPr>
                <w:rFonts w:hint="eastAsia"/>
                <w:b/>
                <w:bCs/>
              </w:rPr>
              <w:t>图5.8.3 墙脚连接构造图</w:t>
            </w:r>
          </w:p>
        </w:tc>
      </w:tr>
      <w:tr>
        <w:tblPrEx>
          <w:tblCellMar>
            <w:top w:w="0" w:type="dxa"/>
            <w:left w:w="108" w:type="dxa"/>
            <w:bottom w:w="0" w:type="dxa"/>
            <w:right w:w="108" w:type="dxa"/>
          </w:tblCellMar>
        </w:tblPrEx>
        <w:trPr>
          <w:jc w:val="center"/>
        </w:trPr>
        <w:tc>
          <w:tcPr>
            <w:tcW w:w="8528" w:type="dxa"/>
            <w:vAlign w:val="center"/>
          </w:tcPr>
          <w:p>
            <w:pPr>
              <w:pStyle w:val="88"/>
              <w:ind w:firstLine="360"/>
              <w:rPr>
                <w:bCs/>
                <w:szCs w:val="32"/>
              </w:rPr>
            </w:pPr>
            <w:r>
              <w:rPr>
                <w:rFonts w:hint="eastAsia"/>
              </w:rPr>
              <w:t>1-墙体；2-暗柱；3-锚杆；4-栓钉；5-加劲肋；6-钢底板</w:t>
            </w:r>
          </w:p>
        </w:tc>
      </w:tr>
    </w:tbl>
    <w:p>
      <w:pPr>
        <w:pStyle w:val="4"/>
        <w:keepNext w:val="0"/>
        <w:keepLines w:val="0"/>
        <w:ind w:left="0"/>
      </w:pPr>
      <w:r>
        <w:rPr>
          <w:rFonts w:hint="eastAsia"/>
        </w:rPr>
        <w:t>开孔钢板组合剪力墙</w:t>
      </w:r>
      <w:r>
        <w:t>偏心受压时，其埋入式墙脚的埋置深度可参考</w:t>
      </w:r>
      <w:r>
        <w:rPr>
          <w:rFonts w:hint="eastAsia"/>
        </w:rPr>
        <w:t>《</w:t>
      </w:r>
      <w:r>
        <w:t>组合结构设计规范</w:t>
      </w:r>
      <w:r>
        <w:rPr>
          <w:rFonts w:hint="eastAsia"/>
        </w:rPr>
        <w:t>》JGJ</w:t>
      </w:r>
      <w:r>
        <w:t xml:space="preserve"> 138中矩形钢管混凝土柱埋入式柱脚的设计方法。</w:t>
      </w:r>
      <w:r>
        <w:rPr>
          <w:rFonts w:hint="eastAsia"/>
        </w:rPr>
        <w:t>剪力墙钢板下部焊接钢底板，并设置钢板加劲肋增强底板的刚度。应在</w:t>
      </w:r>
      <w:bookmarkStart w:id="53" w:name="_Hlk75267871"/>
      <w:r>
        <w:rPr>
          <w:rFonts w:hint="eastAsia"/>
        </w:rPr>
        <w:t>剪力墙端部的钢管混凝土暗柱下的底板处采用锚杆埋入地基，并在暗柱钢板上合理设置栓钉，</w:t>
      </w:r>
      <w:bookmarkEnd w:id="53"/>
      <w:r>
        <w:rPr>
          <w:rFonts w:hint="eastAsia"/>
        </w:rPr>
        <w:t>增大锚固效果。剪力墙中部的墙肢钢板也应设置栓钉，栓钉间距可适当增大。</w:t>
      </w:r>
    </w:p>
    <w:p>
      <w:pPr>
        <w:pStyle w:val="74"/>
        <w:widowControl w:val="0"/>
        <w:ind w:firstLine="400"/>
      </w:pPr>
      <w:r>
        <w:rPr>
          <w:rFonts w:hint="eastAsia"/>
        </w:rPr>
        <w:t>【条文说明】本条参考现行国家标准《钢管混凝土结构技术规范》GB 50936中7.4.1条的规定。</w:t>
      </w:r>
    </w:p>
    <w:p>
      <w:pPr>
        <w:pStyle w:val="4"/>
        <w:keepNext w:val="0"/>
        <w:keepLines w:val="0"/>
        <w:ind w:left="0"/>
      </w:pPr>
      <w:r>
        <w:rPr>
          <w:rFonts w:hint="eastAsia"/>
        </w:rPr>
        <w:t>开孔钢板组合剪力墙偏心受压时，其墙脚的埋置深度应符合下式规定：</w:t>
      </w:r>
    </w:p>
    <w:tbl>
      <w:tblPr>
        <w:tblStyle w:val="44"/>
        <w:tblW w:w="88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1"/>
        <w:gridCol w:w="6161"/>
        <w:gridCol w:w="12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1" w:type="dxa"/>
            <w:tcBorders>
              <w:tl2br w:val="nil"/>
              <w:tr2bl w:val="nil"/>
            </w:tcBorders>
            <w:vAlign w:val="center"/>
          </w:tcPr>
          <w:p>
            <w:pPr>
              <w:spacing w:line="240" w:lineRule="auto"/>
              <w:ind w:firstLine="360"/>
              <w:jc w:val="center"/>
            </w:pPr>
          </w:p>
        </w:tc>
        <w:tc>
          <w:tcPr>
            <w:tcW w:w="6161" w:type="dxa"/>
            <w:tcBorders>
              <w:tl2br w:val="nil"/>
              <w:tr2bl w:val="nil"/>
            </w:tcBorders>
            <w:vAlign w:val="center"/>
          </w:tcPr>
          <w:p>
            <w:pPr>
              <w:spacing w:line="240" w:lineRule="auto"/>
              <w:ind w:firstLine="0" w:firstLineChars="0"/>
              <w:jc w:val="center"/>
              <w:rPr>
                <w:position w:val="-12"/>
              </w:rPr>
            </w:pPr>
            <w:r>
              <w:rPr>
                <w:position w:val="-28"/>
                <w:sz w:val="21"/>
                <w:szCs w:val="21"/>
              </w:rPr>
              <w:object>
                <v:shape id="_x0000_i1133" o:spt="75" type="#_x0000_t75" style="height:33.5pt;width:64.45pt;" o:ole="t" filled="f" o:preferrelative="t" stroked="f" coordsize="21600,21600">
                  <v:path/>
                  <v:fill on="f" focussize="0,0"/>
                  <v:stroke on="f" joinstyle="miter"/>
                  <v:imagedata r:id="rId242" o:title=""/>
                  <o:lock v:ext="edit" aspectratio="t"/>
                  <w10:wrap type="none"/>
                  <w10:anchorlock/>
                </v:shape>
                <o:OLEObject Type="Embed" ProgID="Equation.DSMT4" ShapeID="_x0000_i1133" DrawAspect="Content" ObjectID="_1468075833" r:id="rId241">
                  <o:LockedField>false</o:LockedField>
                </o:OLEObject>
              </w:object>
            </w:r>
          </w:p>
        </w:tc>
        <w:tc>
          <w:tcPr>
            <w:tcW w:w="1282" w:type="dxa"/>
            <w:tcBorders>
              <w:tl2br w:val="nil"/>
              <w:tr2bl w:val="nil"/>
            </w:tcBorders>
            <w:vAlign w:val="center"/>
          </w:tcPr>
          <w:p>
            <w:pPr>
              <w:spacing w:line="240" w:lineRule="auto"/>
              <w:ind w:firstLine="0" w:firstLineChars="0"/>
              <w:jc w:val="right"/>
            </w:pPr>
            <w:r>
              <w:rPr>
                <w:rFonts w:hint="eastAsia"/>
              </w:rPr>
              <w:t>（</w:t>
            </w:r>
            <w:r>
              <w:t>5.8.5</w:t>
            </w:r>
            <w:r>
              <w:rPr>
                <w:rFonts w:hint="eastAsia"/>
              </w:rPr>
              <w:t>）</w:t>
            </w:r>
          </w:p>
        </w:tc>
      </w:tr>
    </w:tbl>
    <w:tbl>
      <w:tblPr>
        <w:tblStyle w:val="43"/>
        <w:tblW w:w="8557" w:type="dxa"/>
        <w:tblInd w:w="-34" w:type="dxa"/>
        <w:tblLayout w:type="fixed"/>
        <w:tblCellMar>
          <w:top w:w="0" w:type="dxa"/>
          <w:left w:w="108" w:type="dxa"/>
          <w:bottom w:w="0" w:type="dxa"/>
          <w:right w:w="108" w:type="dxa"/>
        </w:tblCellMar>
      </w:tblPr>
      <w:tblGrid>
        <w:gridCol w:w="851"/>
        <w:gridCol w:w="567"/>
        <w:gridCol w:w="709"/>
        <w:gridCol w:w="6430"/>
      </w:tblGrid>
      <w:tr>
        <w:tblPrEx>
          <w:tblCellMar>
            <w:top w:w="0" w:type="dxa"/>
            <w:left w:w="108" w:type="dxa"/>
            <w:bottom w:w="0" w:type="dxa"/>
            <w:right w:w="108" w:type="dxa"/>
          </w:tblCellMar>
        </w:tblPrEx>
        <w:tc>
          <w:tcPr>
            <w:tcW w:w="851" w:type="dxa"/>
            <w:vAlign w:val="center"/>
          </w:tcPr>
          <w:p>
            <w:pPr>
              <w:spacing w:line="440" w:lineRule="exact"/>
              <w:ind w:firstLine="0" w:firstLineChars="0"/>
              <w:jc w:val="both"/>
            </w:pPr>
            <w:r>
              <w:rPr>
                <w:rFonts w:hint="eastAsia"/>
              </w:rPr>
              <w:t>式中</w:t>
            </w:r>
            <w:r>
              <w:t>：</w:t>
            </w:r>
          </w:p>
        </w:tc>
        <w:tc>
          <w:tcPr>
            <w:tcW w:w="567" w:type="dxa"/>
            <w:vAlign w:val="center"/>
          </w:tcPr>
          <w:p>
            <w:pPr>
              <w:spacing w:line="440" w:lineRule="exact"/>
              <w:ind w:firstLine="0" w:firstLineChars="0"/>
              <w:jc w:val="both"/>
              <w:rPr>
                <w:rFonts w:eastAsiaTheme="minorEastAsia"/>
                <w:sz w:val="20"/>
                <w:szCs w:val="20"/>
              </w:rPr>
            </w:pPr>
            <w:r>
              <w:rPr>
                <w:i/>
                <w:iCs/>
                <w:sz w:val="20"/>
                <w:szCs w:val="20"/>
              </w:rPr>
              <w:t>h</w:t>
            </w:r>
            <w:r>
              <w:rPr>
                <w:sz w:val="20"/>
                <w:szCs w:val="20"/>
                <w:vertAlign w:val="subscript"/>
              </w:rPr>
              <w:t>B</w:t>
            </w:r>
          </w:p>
        </w:tc>
        <w:tc>
          <w:tcPr>
            <w:tcW w:w="709" w:type="dxa"/>
            <w:vAlign w:val="center"/>
          </w:tcPr>
          <w:p>
            <w:pPr>
              <w:spacing w:line="440" w:lineRule="exact"/>
              <w:ind w:firstLine="0" w:firstLineChars="0"/>
              <w:jc w:val="both"/>
            </w:pPr>
            <w:r>
              <w:t>——</w:t>
            </w:r>
          </w:p>
        </w:tc>
        <w:tc>
          <w:tcPr>
            <w:tcW w:w="6430" w:type="dxa"/>
            <w:vAlign w:val="center"/>
          </w:tcPr>
          <w:p>
            <w:pPr>
              <w:ind w:firstLine="0" w:firstLineChars="0"/>
            </w:pPr>
            <w:r>
              <w:rPr>
                <w:rFonts w:hint="eastAsia"/>
              </w:rPr>
              <w:t>开孔钢板组合剪力墙埋置深度；</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i/>
                <w:iCs/>
                <w:sz w:val="20"/>
                <w:szCs w:val="20"/>
              </w:rPr>
              <w:t>M</w:t>
            </w:r>
            <w:r>
              <w:rPr>
                <w:sz w:val="20"/>
                <w:szCs w:val="20"/>
                <w:vertAlign w:val="subscript"/>
              </w:rPr>
              <w:t>B</w:t>
            </w:r>
          </w:p>
        </w:tc>
        <w:tc>
          <w:tcPr>
            <w:tcW w:w="709" w:type="dxa"/>
            <w:vAlign w:val="center"/>
          </w:tcPr>
          <w:p>
            <w:pPr>
              <w:spacing w:line="440" w:lineRule="exact"/>
              <w:ind w:firstLine="0" w:firstLineChars="0"/>
              <w:jc w:val="both"/>
            </w:pPr>
            <w:r>
              <w:t>——</w:t>
            </w:r>
          </w:p>
        </w:tc>
        <w:tc>
          <w:tcPr>
            <w:tcW w:w="6430" w:type="dxa"/>
            <w:vAlign w:val="center"/>
          </w:tcPr>
          <w:p>
            <w:pPr>
              <w:spacing w:line="440" w:lineRule="exact"/>
              <w:ind w:firstLine="0" w:firstLineChars="0"/>
              <w:jc w:val="both"/>
            </w:pPr>
            <w:r>
              <w:rPr>
                <w:rFonts w:hint="eastAsia"/>
                <w:bCs/>
              </w:rPr>
              <w:t>埋入式墙脚弯矩设计值；</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i/>
                <w:iCs/>
                <w:sz w:val="20"/>
                <w:szCs w:val="20"/>
              </w:rPr>
              <w:t>f</w:t>
            </w:r>
            <w:r>
              <w:rPr>
                <w:sz w:val="20"/>
                <w:szCs w:val="20"/>
                <w:vertAlign w:val="subscript"/>
              </w:rPr>
              <w:t>c</w:t>
            </w:r>
          </w:p>
        </w:tc>
        <w:tc>
          <w:tcPr>
            <w:tcW w:w="709" w:type="dxa"/>
            <w:vAlign w:val="center"/>
          </w:tcPr>
          <w:p>
            <w:pPr>
              <w:spacing w:line="440" w:lineRule="exact"/>
              <w:ind w:firstLine="0" w:firstLineChars="0"/>
              <w:jc w:val="both"/>
            </w:pPr>
            <w:r>
              <w:t>——</w:t>
            </w:r>
          </w:p>
        </w:tc>
        <w:tc>
          <w:tcPr>
            <w:tcW w:w="6430" w:type="dxa"/>
            <w:vAlign w:val="center"/>
          </w:tcPr>
          <w:p>
            <w:pPr>
              <w:spacing w:line="440" w:lineRule="exact"/>
              <w:ind w:firstLine="0" w:firstLineChars="0"/>
              <w:jc w:val="both"/>
            </w:pPr>
            <w:r>
              <w:rPr>
                <w:rFonts w:hint="eastAsia"/>
                <w:bCs/>
              </w:rPr>
              <w:t>基础底板混凝土抗压强度设计值；</w:t>
            </w:r>
          </w:p>
        </w:tc>
      </w:tr>
      <w:tr>
        <w:tblPrEx>
          <w:tblCellMar>
            <w:top w:w="0" w:type="dxa"/>
            <w:left w:w="108" w:type="dxa"/>
            <w:bottom w:w="0" w:type="dxa"/>
            <w:right w:w="108" w:type="dxa"/>
          </w:tblCellMar>
        </w:tblPrEx>
        <w:tc>
          <w:tcPr>
            <w:tcW w:w="851" w:type="dxa"/>
            <w:vAlign w:val="center"/>
          </w:tcPr>
          <w:p>
            <w:pPr>
              <w:spacing w:line="440" w:lineRule="exact"/>
              <w:ind w:firstLine="0" w:firstLineChars="0"/>
              <w:jc w:val="both"/>
            </w:pPr>
          </w:p>
        </w:tc>
        <w:tc>
          <w:tcPr>
            <w:tcW w:w="567" w:type="dxa"/>
            <w:vAlign w:val="center"/>
          </w:tcPr>
          <w:p>
            <w:pPr>
              <w:spacing w:line="440" w:lineRule="exact"/>
              <w:ind w:firstLine="0" w:firstLineChars="0"/>
              <w:jc w:val="both"/>
              <w:rPr>
                <w:i/>
                <w:iCs/>
                <w:sz w:val="20"/>
                <w:szCs w:val="20"/>
              </w:rPr>
            </w:pPr>
            <w:r>
              <w:rPr>
                <w:i/>
                <w:iCs/>
                <w:sz w:val="20"/>
                <w:szCs w:val="20"/>
              </w:rPr>
              <w:t>t</w:t>
            </w:r>
            <w:r>
              <w:rPr>
                <w:sz w:val="20"/>
                <w:szCs w:val="20"/>
                <w:vertAlign w:val="subscript"/>
              </w:rPr>
              <w:t>wc</w:t>
            </w:r>
          </w:p>
        </w:tc>
        <w:tc>
          <w:tcPr>
            <w:tcW w:w="709" w:type="dxa"/>
            <w:vAlign w:val="center"/>
          </w:tcPr>
          <w:p>
            <w:pPr>
              <w:spacing w:line="440" w:lineRule="exact"/>
              <w:ind w:firstLine="0" w:firstLineChars="0"/>
              <w:jc w:val="both"/>
            </w:pPr>
            <w:r>
              <w:t>——</w:t>
            </w:r>
          </w:p>
        </w:tc>
        <w:tc>
          <w:tcPr>
            <w:tcW w:w="6430" w:type="dxa"/>
            <w:vAlign w:val="center"/>
          </w:tcPr>
          <w:p>
            <w:pPr>
              <w:ind w:firstLine="0" w:firstLineChars="0"/>
            </w:pPr>
            <w:r>
              <w:rPr>
                <w:rFonts w:hint="eastAsia"/>
                <w:bCs/>
              </w:rPr>
              <w:t>开孔钢板组合剪力墙的厚度。</w:t>
            </w:r>
          </w:p>
        </w:tc>
      </w:tr>
    </w:tbl>
    <w:p>
      <w:pPr>
        <w:pStyle w:val="74"/>
        <w:widowControl w:val="0"/>
        <w:ind w:firstLine="400"/>
      </w:pPr>
      <w:r>
        <w:rPr>
          <w:rFonts w:hint="eastAsia"/>
        </w:rPr>
        <w:t>【条文说明】本条参考现行行业标准《组合结构设计规范》JGJ 138中7.4.4条的规定。偏心受压墙埋入式墙脚的埋置深度计算公式是假设由墙脚与基础混凝土之间的侧压力来平衡墙体受到的弯矩和剪力，并对由此建立的计算公式进行简化。通过试验验证，该公式适用于压弯和拉弯两种情况。</w:t>
      </w:r>
    </w:p>
    <w:p>
      <w:pPr>
        <w:pStyle w:val="4"/>
        <w:keepNext w:val="0"/>
        <w:keepLines w:val="0"/>
        <w:ind w:left="0"/>
      </w:pPr>
      <w:r>
        <w:rPr>
          <w:rFonts w:hint="eastAsia"/>
        </w:rPr>
        <w:t>开孔钢板组合剪力墙偏心受拉时，其埋置深度除应符合</w:t>
      </w:r>
      <w:r>
        <w:t>5</w:t>
      </w:r>
      <w:r>
        <w:rPr>
          <w:rFonts w:hint="eastAsia"/>
        </w:rPr>
        <w:t>.</w:t>
      </w:r>
      <w:r>
        <w:t>8</w:t>
      </w:r>
      <w:r>
        <w:rPr>
          <w:rFonts w:hint="eastAsia"/>
        </w:rPr>
        <w:t>.</w:t>
      </w:r>
      <w:r>
        <w:t>5</w:t>
      </w:r>
      <w:r>
        <w:rPr>
          <w:rFonts w:hint="eastAsia"/>
        </w:rPr>
        <w:t>条的规定，还应满足不小于矩形钢管混凝土暗柱长边尺寸和墙体截面受拉区高度两者较大值的2倍的要求。</w:t>
      </w:r>
    </w:p>
    <w:p>
      <w:pPr>
        <w:pStyle w:val="74"/>
        <w:widowControl w:val="0"/>
        <w:ind w:firstLine="400"/>
      </w:pPr>
      <w:r>
        <w:rPr>
          <w:rFonts w:hint="eastAsia"/>
        </w:rPr>
        <w:t>【条文说明】本条参考现行行业标准《组合结构设计规范》JGJ 138中7.4.7条的规定。</w:t>
      </w:r>
    </w:p>
    <w:p>
      <w:pPr>
        <w:pStyle w:val="4"/>
        <w:keepNext w:val="0"/>
        <w:keepLines w:val="0"/>
        <w:ind w:left="0"/>
      </w:pPr>
      <w:r>
        <w:rPr>
          <w:rFonts w:hint="eastAsia"/>
        </w:rPr>
        <w:t>开孔钢板组合剪力墙埋入式墙脚的底板厚度，不应小于墙脚钢管壁的厚度，且不宜小于25mm。</w:t>
      </w:r>
    </w:p>
    <w:p>
      <w:pPr>
        <w:pStyle w:val="74"/>
        <w:widowControl w:val="0"/>
        <w:ind w:firstLine="400"/>
      </w:pPr>
      <w:r>
        <w:rPr>
          <w:rFonts w:hint="eastAsia"/>
        </w:rPr>
        <w:t>【条文说明】本条参考现行《组合结构设计规范》JGJ 138中7.4.8条的规定。</w:t>
      </w:r>
    </w:p>
    <w:p>
      <w:pPr>
        <w:pStyle w:val="4"/>
        <w:keepNext w:val="0"/>
        <w:keepLines w:val="0"/>
        <w:ind w:left="0"/>
        <w:rPr>
          <w:szCs w:val="21"/>
        </w:rPr>
      </w:pPr>
      <w:r>
        <w:rPr>
          <w:rFonts w:hint="eastAsia"/>
        </w:rPr>
        <w:t>开孔钢板组合剪力墙</w:t>
      </w:r>
      <w:r>
        <w:rPr>
          <w:szCs w:val="21"/>
        </w:rPr>
        <w:t>墙脚底板处的锚栓埋置深度，应符合现行国家标准《混凝土结构设计规范》GB 50010的规定。</w:t>
      </w:r>
    </w:p>
    <w:p>
      <w:pPr>
        <w:pStyle w:val="74"/>
        <w:widowControl w:val="0"/>
        <w:ind w:firstLine="400"/>
      </w:pPr>
      <w:r>
        <w:rPr>
          <w:rFonts w:hint="eastAsia"/>
        </w:rPr>
        <w:t>【条文说明】本条参考现行行业标准《组合结构设计规范》JGJ 138中7.4.11条的规定。</w:t>
      </w:r>
    </w:p>
    <w:p>
      <w:pPr>
        <w:pStyle w:val="4"/>
        <w:keepNext w:val="0"/>
        <w:keepLines w:val="0"/>
        <w:ind w:left="0"/>
      </w:pPr>
      <w:r>
        <w:rPr>
          <w:rFonts w:hint="eastAsia"/>
        </w:rPr>
        <w:t>开孔钢板组合剪力墙端部的钢管混凝土暗柱钢板壁外侧在</w:t>
      </w:r>
      <w:r>
        <w:t>埋置深度范围内</w:t>
      </w:r>
      <w:r>
        <w:rPr>
          <w:rFonts w:hint="eastAsia"/>
        </w:rPr>
        <w:t>应合理设置栓钉，</w:t>
      </w:r>
      <w:r>
        <w:t>栓钉的直径不宜小于19mm，水平和竖向间距不宜大于200mm，栓钉离侧边不宜小于50mm且不宜大100mm</w:t>
      </w:r>
      <w:r>
        <w:rPr>
          <w:rFonts w:hint="eastAsia"/>
        </w:rPr>
        <w:t>，暗柱每侧钢板上沿竖向应至少设置两列栓钉</w:t>
      </w:r>
      <w:r>
        <w:t>。</w:t>
      </w:r>
    </w:p>
    <w:p>
      <w:pPr>
        <w:pStyle w:val="74"/>
        <w:widowControl w:val="0"/>
        <w:ind w:firstLine="400"/>
        <w:rPr>
          <w:szCs w:val="22"/>
        </w:rPr>
      </w:pPr>
      <w:r>
        <w:rPr>
          <w:rFonts w:hint="eastAsia"/>
        </w:rPr>
        <w:t>【条文说明】本条参考现行行业标准《组合结构设计规范》JGJ 138中7.4.9条的规定。</w:t>
      </w:r>
    </w:p>
    <w:p>
      <w:pPr>
        <w:pStyle w:val="4"/>
        <w:keepNext w:val="0"/>
        <w:keepLines w:val="0"/>
        <w:ind w:left="0"/>
      </w:pPr>
      <w:r>
        <w:rPr>
          <w:rFonts w:hint="eastAsia"/>
        </w:rPr>
        <w:t>开孔钢板组合剪力墙</w:t>
      </w:r>
      <w:r>
        <w:t>在其埋入部分的顶面位置，应设置水平加劲肋，加劲肋的厚度不宜小于25mm，且加劲肋应留有混凝土浇筑孔。</w:t>
      </w:r>
    </w:p>
    <w:p>
      <w:pPr>
        <w:pStyle w:val="74"/>
        <w:widowControl w:val="0"/>
        <w:ind w:firstLine="400"/>
      </w:pPr>
      <w:r>
        <w:rPr>
          <w:rFonts w:hint="eastAsia"/>
        </w:rPr>
        <w:t>【条文说明】本条参考现行行业标准《组合结构设计规范》JGJ 138中7.4.10条的规定。</w:t>
      </w:r>
    </w:p>
    <w:p>
      <w:pPr>
        <w:pStyle w:val="4"/>
        <w:keepNext w:val="0"/>
        <w:keepLines w:val="0"/>
        <w:ind w:left="0"/>
      </w:pPr>
      <w:r>
        <w:rPr>
          <w:rFonts w:hint="eastAsia"/>
        </w:rPr>
        <w:t>开孔钢板组合剪力墙除暗柱以外的中间墙肢也应设置栓钉、锚杆、加劲肋，以确保墙体和地基的连接稳定，设置间距及尺寸较暗柱的规定可适当放宽。</w:t>
      </w:r>
    </w:p>
    <w:p>
      <w:pPr>
        <w:pStyle w:val="4"/>
        <w:keepNext w:val="0"/>
        <w:keepLines w:val="0"/>
        <w:ind w:left="0"/>
        <w:rPr>
          <w:sz w:val="24"/>
          <w:szCs w:val="24"/>
        </w:rPr>
      </w:pPr>
      <w:r>
        <w:rPr>
          <w:rFonts w:hint="eastAsia"/>
        </w:rPr>
        <w:t>开孔钢板组合剪力墙上、下层墙体的连接采用焊接的方法，用墙体钢板内侧的衬板进行定位。将衬板与钢板在工厂点焊连接，在施工现场再将上、下层钢板采用对接焊缝连接，焊缝为全熔透焊缝。无衬板的连接方式的焊缝应为全熔透焊缝。</w:t>
      </w:r>
    </w:p>
    <w:p>
      <w:pPr>
        <w:pStyle w:val="4"/>
        <w:keepNext w:val="0"/>
        <w:keepLines w:val="0"/>
        <w:ind w:left="0"/>
      </w:pPr>
      <w:r>
        <w:rPr>
          <w:rFonts w:hint="eastAsia"/>
        </w:rPr>
        <w:t>根据构造、吊装能力和运输要求，墙体钢板可按多个楼层下料分段制作，也可按照每层下料制作，分段接头位置宜在楼面以上1.0m~1.3m处。</w:t>
      </w:r>
    </w:p>
    <w:p>
      <w:pPr>
        <w:pStyle w:val="4"/>
        <w:keepNext w:val="0"/>
        <w:keepLines w:val="0"/>
        <w:ind w:left="0"/>
      </w:pPr>
      <w:r>
        <w:rPr>
          <w:rFonts w:hint="eastAsia"/>
        </w:rPr>
        <w:t>开孔钢板组合剪力墙与H型钢混凝土组合梁的抗弯连接，采用竖向肋板节点连接件（图</w:t>
      </w:r>
      <w:r>
        <w:t>5.8.</w:t>
      </w:r>
      <w:r>
        <w:rPr>
          <w:rFonts w:hint="eastAsia"/>
        </w:rPr>
        <w:t>14）。开孔钢板组合剪力墙的厚度与H型钢混凝土组合梁的宽度相等，竖向肋板紧贴H型钢翼缘板侧和墙体钢板焊接。竖向肋板与H型钢翼缘板侧上、下面采用角焊缝连接，同时竖向肋板与墙体钢板也采用角焊缝连接。</w:t>
      </w:r>
    </w:p>
    <w:tbl>
      <w:tblPr>
        <w:tblStyle w:val="43"/>
        <w:tblW w:w="8528" w:type="dxa"/>
        <w:jc w:val="center"/>
        <w:tblLayout w:type="fixed"/>
        <w:tblCellMar>
          <w:top w:w="0" w:type="dxa"/>
          <w:left w:w="108" w:type="dxa"/>
          <w:bottom w:w="0" w:type="dxa"/>
          <w:right w:w="108" w:type="dxa"/>
        </w:tblCellMar>
      </w:tblPr>
      <w:tblGrid>
        <w:gridCol w:w="4664"/>
        <w:gridCol w:w="3864"/>
      </w:tblGrid>
      <w:tr>
        <w:tblPrEx>
          <w:tblCellMar>
            <w:top w:w="0" w:type="dxa"/>
            <w:left w:w="108" w:type="dxa"/>
            <w:bottom w:w="0" w:type="dxa"/>
            <w:right w:w="108" w:type="dxa"/>
          </w:tblCellMar>
        </w:tblPrEx>
        <w:trPr>
          <w:jc w:val="center"/>
        </w:trPr>
        <w:tc>
          <w:tcPr>
            <w:tcW w:w="4664" w:type="dxa"/>
            <w:vAlign w:val="center"/>
          </w:tcPr>
          <w:p>
            <w:pPr>
              <w:pStyle w:val="89"/>
              <w:ind w:firstLine="420"/>
              <w:jc w:val="center"/>
              <w:rPr>
                <w:rFonts w:ascii="Times New Roman" w:hAnsi="Times New Roman" w:cs="Times New Roman"/>
                <w:szCs w:val="24"/>
              </w:rPr>
            </w:pPr>
            <w:r>
              <w:rPr>
                <w:rFonts w:ascii="宋体" w:cs="宋体"/>
              </w:rPr>
              <w:drawing>
                <wp:inline distT="0" distB="0" distL="0" distR="0">
                  <wp:extent cx="2602230" cy="2084070"/>
                  <wp:effectExtent l="0" t="0" r="7620" b="11430"/>
                  <wp:docPr id="5847" name="图片 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 name="图片 5847"/>
                          <pic:cNvPicPr>
                            <a:picLocks noChangeAspect="1"/>
                          </pic:cNvPicPr>
                        </pic:nvPicPr>
                        <pic:blipFill>
                          <a:blip r:embed="rId243" cstate="print">
                            <a:extLst>
                              <a:ext uri="{28A0092B-C50C-407E-A947-70E740481C1C}">
                                <a14:useLocalDpi xmlns:a14="http://schemas.microsoft.com/office/drawing/2010/main" val="0"/>
                              </a:ext>
                            </a:extLst>
                          </a:blip>
                          <a:stretch>
                            <a:fillRect/>
                          </a:stretch>
                        </pic:blipFill>
                        <pic:spPr>
                          <a:xfrm>
                            <a:off x="0" y="0"/>
                            <a:ext cx="2602800" cy="2084400"/>
                          </a:xfrm>
                          <a:prstGeom prst="rect">
                            <a:avLst/>
                          </a:prstGeom>
                        </pic:spPr>
                      </pic:pic>
                    </a:graphicData>
                  </a:graphic>
                </wp:inline>
              </w:drawing>
            </w:r>
          </w:p>
        </w:tc>
        <w:tc>
          <w:tcPr>
            <w:tcW w:w="3864" w:type="dxa"/>
            <w:vAlign w:val="center"/>
          </w:tcPr>
          <w:p>
            <w:pPr>
              <w:pStyle w:val="89"/>
              <w:ind w:firstLine="420"/>
              <w:jc w:val="center"/>
              <w:rPr>
                <w:rFonts w:ascii="Times New Roman" w:hAnsi="Times New Roman" w:cs="Times New Roman"/>
                <w:szCs w:val="24"/>
              </w:rPr>
            </w:pPr>
            <w:r>
              <w:rPr>
                <w:rFonts w:ascii="宋体" w:cs="宋体"/>
              </w:rPr>
              <w:drawing>
                <wp:inline distT="0" distB="0" distL="0" distR="0">
                  <wp:extent cx="1708150" cy="1439545"/>
                  <wp:effectExtent l="0" t="0" r="6350" b="825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244" cstate="print">
                            <a:extLst>
                              <a:ext uri="{28A0092B-C50C-407E-A947-70E740481C1C}">
                                <a14:useLocalDpi xmlns:a14="http://schemas.microsoft.com/office/drawing/2010/main" val="0"/>
                              </a:ext>
                            </a:extLst>
                          </a:blip>
                          <a:stretch>
                            <a:fillRect/>
                          </a:stretch>
                        </pic:blipFill>
                        <pic:spPr>
                          <a:xfrm>
                            <a:off x="0" y="0"/>
                            <a:ext cx="1708215" cy="1440000"/>
                          </a:xfrm>
                          <a:prstGeom prst="rect">
                            <a:avLst/>
                          </a:prstGeom>
                        </pic:spPr>
                      </pic:pic>
                    </a:graphicData>
                  </a:graphic>
                </wp:inline>
              </w:drawing>
            </w:r>
          </w:p>
        </w:tc>
      </w:tr>
      <w:tr>
        <w:tblPrEx>
          <w:tblCellMar>
            <w:top w:w="0" w:type="dxa"/>
            <w:left w:w="108" w:type="dxa"/>
            <w:bottom w:w="0" w:type="dxa"/>
            <w:right w:w="108" w:type="dxa"/>
          </w:tblCellMar>
        </w:tblPrEx>
        <w:trPr>
          <w:jc w:val="center"/>
        </w:trPr>
        <w:tc>
          <w:tcPr>
            <w:tcW w:w="4664" w:type="dxa"/>
            <w:vAlign w:val="center"/>
          </w:tcPr>
          <w:p>
            <w:pPr>
              <w:pStyle w:val="88"/>
              <w:ind w:firstLine="360"/>
            </w:pPr>
            <w:r>
              <w:rPr>
                <w:rFonts w:hint="eastAsia"/>
              </w:rPr>
              <w:t>（a）节点立面图</w:t>
            </w:r>
          </w:p>
        </w:tc>
        <w:tc>
          <w:tcPr>
            <w:tcW w:w="3864" w:type="dxa"/>
            <w:vAlign w:val="center"/>
          </w:tcPr>
          <w:p>
            <w:pPr>
              <w:pStyle w:val="88"/>
              <w:ind w:firstLine="360"/>
            </w:pPr>
            <w:r>
              <w:t>（b）</w:t>
            </w:r>
            <w:r>
              <w:rPr>
                <w:rFonts w:hint="eastAsia"/>
              </w:rPr>
              <w:t>H型钢混凝土组合梁</w:t>
            </w:r>
          </w:p>
        </w:tc>
      </w:tr>
      <w:tr>
        <w:tblPrEx>
          <w:tblCellMar>
            <w:top w:w="0" w:type="dxa"/>
            <w:left w:w="108" w:type="dxa"/>
            <w:bottom w:w="0" w:type="dxa"/>
            <w:right w:w="108" w:type="dxa"/>
          </w:tblCellMar>
        </w:tblPrEx>
        <w:trPr>
          <w:jc w:val="center"/>
        </w:trPr>
        <w:tc>
          <w:tcPr>
            <w:tcW w:w="8528" w:type="dxa"/>
            <w:gridSpan w:val="2"/>
            <w:vAlign w:val="center"/>
          </w:tcPr>
          <w:p>
            <w:pPr>
              <w:pStyle w:val="80"/>
              <w:ind w:firstLine="361"/>
            </w:pPr>
            <w:r>
              <w:rPr>
                <w:b/>
                <w:bCs/>
              </w:rPr>
              <w:t>图5.8.</w:t>
            </w:r>
            <w:r>
              <w:rPr>
                <w:rFonts w:hint="eastAsia"/>
                <w:b/>
                <w:bCs/>
              </w:rPr>
              <w:t>14</w:t>
            </w:r>
            <w:r>
              <w:rPr>
                <w:b/>
                <w:bCs/>
              </w:rPr>
              <w:t xml:space="preserve"> 钢板组合剪力墙-</w:t>
            </w:r>
            <w:r>
              <w:rPr>
                <w:rFonts w:hint="eastAsia"/>
                <w:b/>
                <w:bCs/>
              </w:rPr>
              <w:t>H</w:t>
            </w:r>
            <w:r>
              <w:rPr>
                <w:b/>
                <w:bCs/>
              </w:rPr>
              <w:t>形钢-混凝土组合梁加劲肋板节点</w:t>
            </w:r>
          </w:p>
        </w:tc>
      </w:tr>
      <w:tr>
        <w:tblPrEx>
          <w:tblCellMar>
            <w:top w:w="0" w:type="dxa"/>
            <w:left w:w="108" w:type="dxa"/>
            <w:bottom w:w="0" w:type="dxa"/>
            <w:right w:w="108" w:type="dxa"/>
          </w:tblCellMar>
        </w:tblPrEx>
        <w:trPr>
          <w:jc w:val="center"/>
        </w:trPr>
        <w:tc>
          <w:tcPr>
            <w:tcW w:w="8528" w:type="dxa"/>
            <w:gridSpan w:val="2"/>
            <w:vAlign w:val="center"/>
          </w:tcPr>
          <w:p>
            <w:pPr>
              <w:pStyle w:val="88"/>
              <w:ind w:firstLine="360"/>
            </w:pPr>
            <w:r>
              <w:rPr>
                <w:rFonts w:hint="eastAsia"/>
              </w:rPr>
              <w:t>1-开孔钢板组合剪力墙；</w:t>
            </w:r>
            <w:r>
              <w:t>2</w:t>
            </w:r>
            <w:r>
              <w:rPr>
                <w:rFonts w:hint="eastAsia"/>
              </w:rPr>
              <w:t>-H型</w:t>
            </w:r>
            <w:r>
              <w:t>钢混凝土组合梁</w:t>
            </w:r>
            <w:r>
              <w:rPr>
                <w:rFonts w:hint="eastAsia"/>
              </w:rPr>
              <w:t>；</w:t>
            </w:r>
            <w:r>
              <w:t>3</w:t>
            </w:r>
            <w:r>
              <w:rPr>
                <w:rFonts w:hint="eastAsia"/>
              </w:rPr>
              <w:t>-竖向肋板；</w:t>
            </w:r>
            <w:r>
              <w:t>4</w:t>
            </w:r>
            <w:r>
              <w:rPr>
                <w:rFonts w:hint="eastAsia"/>
              </w:rPr>
              <w:t>、5、6-角焊缝</w:t>
            </w:r>
          </w:p>
        </w:tc>
      </w:tr>
    </w:tbl>
    <w:p>
      <w:pPr>
        <w:pStyle w:val="4"/>
        <w:keepNext w:val="0"/>
        <w:keepLines w:val="0"/>
        <w:ind w:left="0"/>
      </w:pPr>
      <w:r>
        <w:rPr>
          <w:rFonts w:hint="eastAsia"/>
        </w:rPr>
        <w:t>一个</w:t>
      </w:r>
      <w:r>
        <w:t>竖向</w:t>
      </w:r>
      <w:r>
        <w:rPr>
          <w:rFonts w:hint="eastAsia"/>
        </w:rPr>
        <w:t>肋板节点连接</w:t>
      </w:r>
      <w:r>
        <w:t>承载力</w:t>
      </w:r>
      <w:r>
        <w:rPr>
          <w:rFonts w:hint="eastAsia"/>
        </w:rPr>
        <w:t>由竖向肋板自身承载力、墙肢正面钢板承载力和墙肢侧面钢板承载力三部分组成，其设计值</w:t>
      </w:r>
      <w:r>
        <w:rPr>
          <w:i/>
          <w:iCs/>
          <w:szCs w:val="21"/>
        </w:rPr>
        <w:t>P</w:t>
      </w:r>
      <w:r>
        <w:rPr>
          <w:szCs w:val="21"/>
          <w:vertAlign w:val="subscript"/>
        </w:rPr>
        <w:t>vy</w:t>
      </w:r>
      <w:r>
        <w:rPr>
          <w:rFonts w:hint="eastAsia"/>
        </w:rPr>
        <w:t>采用式（</w:t>
      </w:r>
      <w:r>
        <w:t>5.8.</w:t>
      </w:r>
      <w:r>
        <w:rPr>
          <w:rFonts w:hint="eastAsia"/>
        </w:rPr>
        <w:t>15</w:t>
      </w:r>
      <w:r>
        <w:t>-1</w:t>
      </w:r>
      <w:r>
        <w:rPr>
          <w:rFonts w:hint="eastAsia"/>
        </w:rPr>
        <w:t>）计算</w:t>
      </w:r>
      <w:r>
        <w:t>：</w:t>
      </w:r>
    </w:p>
    <w:tbl>
      <w:tblPr>
        <w:tblStyle w:val="43"/>
        <w:tblW w:w="8516" w:type="dxa"/>
        <w:jc w:val="center"/>
        <w:tblLayout w:type="fixed"/>
        <w:tblCellMar>
          <w:top w:w="0" w:type="dxa"/>
          <w:left w:w="57" w:type="dxa"/>
          <w:bottom w:w="0" w:type="dxa"/>
          <w:right w:w="57" w:type="dxa"/>
        </w:tblCellMar>
      </w:tblPr>
      <w:tblGrid>
        <w:gridCol w:w="44"/>
        <w:gridCol w:w="807"/>
        <w:gridCol w:w="545"/>
        <w:gridCol w:w="708"/>
        <w:gridCol w:w="4957"/>
        <w:gridCol w:w="1409"/>
        <w:gridCol w:w="46"/>
      </w:tblGrid>
      <w:tr>
        <w:tblPrEx>
          <w:tblCellMar>
            <w:top w:w="0" w:type="dxa"/>
            <w:left w:w="57" w:type="dxa"/>
            <w:bottom w:w="0" w:type="dxa"/>
            <w:right w:w="57" w:type="dxa"/>
          </w:tblCellMar>
        </w:tblPrEx>
        <w:trPr>
          <w:gridBefore w:val="1"/>
          <w:gridAfter w:val="1"/>
          <w:wBefore w:w="44" w:type="dxa"/>
          <w:wAfter w:w="46" w:type="dxa"/>
          <w:jc w:val="center"/>
        </w:trPr>
        <w:tc>
          <w:tcPr>
            <w:tcW w:w="7017" w:type="dxa"/>
            <w:gridSpan w:val="4"/>
            <w:shd w:val="clear" w:color="auto" w:fill="auto"/>
            <w:vAlign w:val="center"/>
          </w:tcPr>
          <w:p>
            <w:pPr>
              <w:adjustRightInd w:val="0"/>
              <w:snapToGrid w:val="0"/>
              <w:spacing w:line="240" w:lineRule="auto"/>
              <w:jc w:val="center"/>
            </w:pPr>
            <w:r>
              <w:rPr>
                <w:position w:val="-42"/>
              </w:rPr>
              <w:object>
                <v:shape id="_x0000_i1134" o:spt="75" type="#_x0000_t75" style="height:47.7pt;width:276.3pt;" o:ole="t" filled="f" o:preferrelative="t" stroked="f" coordsize="21600,21600">
                  <v:path/>
                  <v:fill on="f" focussize="0,0"/>
                  <v:stroke on="f" joinstyle="miter"/>
                  <v:imagedata r:id="rId246" o:title=""/>
                  <o:lock v:ext="edit" aspectratio="t"/>
                  <w10:wrap type="none"/>
                  <w10:anchorlock/>
                </v:shape>
                <o:OLEObject Type="Embed" ProgID="Equation.DSMT4" ShapeID="_x0000_i1134" DrawAspect="Content" ObjectID="_1468075834" r:id="rId245">
                  <o:LockedField>false</o:LockedField>
                </o:OLEObject>
              </w:object>
            </w:r>
          </w:p>
        </w:tc>
        <w:tc>
          <w:tcPr>
            <w:tcW w:w="1409" w:type="dxa"/>
            <w:shd w:val="clear" w:color="auto" w:fill="auto"/>
            <w:vAlign w:val="center"/>
          </w:tcPr>
          <w:p>
            <w:pPr>
              <w:adjustRightInd w:val="0"/>
              <w:snapToGrid w:val="0"/>
              <w:spacing w:line="240" w:lineRule="auto"/>
              <w:ind w:firstLine="0" w:firstLineChars="0"/>
              <w:jc w:val="right"/>
            </w:pPr>
            <w:bookmarkStart w:id="54" w:name="_Ref9369605"/>
            <w:r>
              <w:t>（5</w:t>
            </w:r>
            <w:r>
              <w:rPr>
                <w:bCs/>
              </w:rPr>
              <w:t>.</w:t>
            </w:r>
            <w:r>
              <w:t>8</w:t>
            </w:r>
            <w:r>
              <w:rPr>
                <w:bCs/>
              </w:rPr>
              <w:t>.</w:t>
            </w:r>
            <w:r>
              <w:rPr>
                <w:rFonts w:hint="eastAsia"/>
              </w:rPr>
              <w:t>15</w:t>
            </w:r>
            <w:r>
              <w:rPr>
                <w:bCs/>
              </w:rPr>
              <w:t>-1</w:t>
            </w:r>
            <w:r>
              <w:t>）</w:t>
            </w:r>
            <w:bookmarkEnd w:id="54"/>
          </w:p>
        </w:tc>
      </w:tr>
      <w:tr>
        <w:tblPrEx>
          <w:tblCellMar>
            <w:top w:w="0" w:type="dxa"/>
            <w:left w:w="57" w:type="dxa"/>
            <w:bottom w:w="0" w:type="dxa"/>
            <w:right w:w="57" w:type="dxa"/>
          </w:tblCellMar>
        </w:tblPrEx>
        <w:trPr>
          <w:gridBefore w:val="1"/>
          <w:gridAfter w:val="1"/>
          <w:wBefore w:w="44" w:type="dxa"/>
          <w:wAfter w:w="46" w:type="dxa"/>
          <w:jc w:val="center"/>
        </w:trPr>
        <w:tc>
          <w:tcPr>
            <w:tcW w:w="7017" w:type="dxa"/>
            <w:gridSpan w:val="4"/>
            <w:shd w:val="clear" w:color="auto" w:fill="auto"/>
            <w:vAlign w:val="center"/>
          </w:tcPr>
          <w:p>
            <w:pPr>
              <w:adjustRightInd w:val="0"/>
              <w:snapToGrid w:val="0"/>
              <w:spacing w:line="440" w:lineRule="exact"/>
              <w:jc w:val="center"/>
              <w:rPr>
                <w:position w:val="-42"/>
              </w:rPr>
            </w:pPr>
            <w:r>
              <w:rPr>
                <w:position w:val="-20"/>
              </w:rPr>
              <w:object>
                <v:shape id="_x0000_i1135" o:spt="75" type="#_x0000_t75" style="height:28.45pt;width:66.15pt;" o:ole="t" filled="f" o:preferrelative="t" stroked="f" coordsize="21600,21600">
                  <v:path/>
                  <v:fill on="f" focussize="0,0"/>
                  <v:stroke on="f" joinstyle="miter"/>
                  <v:imagedata r:id="rId248" o:title=""/>
                  <o:lock v:ext="edit" aspectratio="t"/>
                  <w10:wrap type="none"/>
                  <w10:anchorlock/>
                </v:shape>
                <o:OLEObject Type="Embed" ProgID="Equation.DSMT4" ShapeID="_x0000_i1135" DrawAspect="Content" ObjectID="_1468075835" r:id="rId247">
                  <o:LockedField>false</o:LockedField>
                </o:OLEObject>
              </w:object>
            </w:r>
          </w:p>
        </w:tc>
        <w:tc>
          <w:tcPr>
            <w:tcW w:w="1409" w:type="dxa"/>
            <w:shd w:val="clear" w:color="auto" w:fill="auto"/>
            <w:vAlign w:val="center"/>
          </w:tcPr>
          <w:p>
            <w:pPr>
              <w:adjustRightInd w:val="0"/>
              <w:snapToGrid w:val="0"/>
              <w:spacing w:line="440" w:lineRule="exact"/>
              <w:ind w:firstLine="0" w:firstLineChars="0"/>
              <w:jc w:val="right"/>
            </w:pPr>
            <w:r>
              <w:t>（5</w:t>
            </w:r>
            <w:r>
              <w:rPr>
                <w:bCs/>
              </w:rPr>
              <w:t>.</w:t>
            </w:r>
            <w:r>
              <w:t>8</w:t>
            </w:r>
            <w:r>
              <w:rPr>
                <w:bCs/>
              </w:rPr>
              <w:t>.</w:t>
            </w:r>
            <w:r>
              <w:rPr>
                <w:rFonts w:hint="eastAsia"/>
              </w:rPr>
              <w:t>15</w:t>
            </w:r>
            <w:r>
              <w:rPr>
                <w:bCs/>
              </w:rPr>
              <w:t>-</w:t>
            </w:r>
            <w:r>
              <w:rPr>
                <w:rFonts w:hint="eastAsia"/>
                <w:bCs/>
              </w:rPr>
              <w:t>2</w:t>
            </w:r>
            <w:r>
              <w:t>）</w:t>
            </w:r>
          </w:p>
        </w:tc>
      </w:tr>
      <w:tr>
        <w:tblPrEx>
          <w:tblCellMar>
            <w:top w:w="0" w:type="dxa"/>
            <w:left w:w="57" w:type="dxa"/>
            <w:bottom w:w="0" w:type="dxa"/>
            <w:right w:w="57" w:type="dxa"/>
          </w:tblCellMar>
        </w:tblPrEx>
        <w:trPr>
          <w:gridBefore w:val="1"/>
          <w:gridAfter w:val="1"/>
          <w:wBefore w:w="44" w:type="dxa"/>
          <w:wAfter w:w="46" w:type="dxa"/>
          <w:jc w:val="center"/>
        </w:trPr>
        <w:tc>
          <w:tcPr>
            <w:tcW w:w="7017" w:type="dxa"/>
            <w:gridSpan w:val="4"/>
            <w:shd w:val="clear" w:color="auto" w:fill="auto"/>
            <w:vAlign w:val="center"/>
          </w:tcPr>
          <w:p>
            <w:pPr>
              <w:adjustRightInd w:val="0"/>
              <w:snapToGrid w:val="0"/>
              <w:spacing w:line="440" w:lineRule="exact"/>
              <w:jc w:val="center"/>
              <w:rPr>
                <w:position w:val="-22"/>
              </w:rPr>
            </w:pPr>
            <w:r>
              <w:rPr>
                <w:position w:val="-12"/>
              </w:rPr>
              <w:object>
                <v:shape id="_x0000_i1136" o:spt="75" type="#_x0000_t75" style="height:17.6pt;width:77.85pt;" o:ole="t" filled="f" o:preferrelative="t" stroked="f" coordsize="21600,21600">
                  <v:path/>
                  <v:fill on="f" focussize="0,0"/>
                  <v:stroke on="f" joinstyle="miter"/>
                  <v:imagedata r:id="rId250" o:title=""/>
                  <o:lock v:ext="edit" aspectratio="t"/>
                  <w10:wrap type="none"/>
                  <w10:anchorlock/>
                </v:shape>
                <o:OLEObject Type="Embed" ProgID="Equation.DSMT4" ShapeID="_x0000_i1136" DrawAspect="Content" ObjectID="_1468075836" r:id="rId249">
                  <o:LockedField>false</o:LockedField>
                </o:OLEObject>
              </w:object>
            </w:r>
          </w:p>
        </w:tc>
        <w:tc>
          <w:tcPr>
            <w:tcW w:w="1409" w:type="dxa"/>
            <w:shd w:val="clear" w:color="auto" w:fill="auto"/>
            <w:vAlign w:val="center"/>
          </w:tcPr>
          <w:p>
            <w:pPr>
              <w:adjustRightInd w:val="0"/>
              <w:snapToGrid w:val="0"/>
              <w:spacing w:line="440" w:lineRule="exact"/>
              <w:ind w:firstLine="0" w:firstLineChars="0"/>
              <w:jc w:val="right"/>
            </w:pPr>
            <w:r>
              <w:t>（5</w:t>
            </w:r>
            <w:r>
              <w:rPr>
                <w:bCs/>
              </w:rPr>
              <w:t>.</w:t>
            </w:r>
            <w:r>
              <w:t>8</w:t>
            </w:r>
            <w:r>
              <w:rPr>
                <w:bCs/>
              </w:rPr>
              <w:t>.</w:t>
            </w:r>
            <w:r>
              <w:rPr>
                <w:rFonts w:hint="eastAsia"/>
              </w:rPr>
              <w:t>15</w:t>
            </w:r>
            <w:r>
              <w:rPr>
                <w:bCs/>
              </w:rPr>
              <w:t>-</w:t>
            </w:r>
            <w:r>
              <w:rPr>
                <w:rFonts w:hint="eastAsia"/>
                <w:bCs/>
              </w:rPr>
              <w:t>3</w:t>
            </w:r>
            <w:r>
              <w:t>）</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pPr>
            <w:r>
              <w:rPr>
                <w:rFonts w:hint="eastAsia"/>
              </w:rPr>
              <w:t>式中</w:t>
            </w:r>
            <w:r>
              <w:t>：</w:t>
            </w:r>
          </w:p>
        </w:tc>
        <w:tc>
          <w:tcPr>
            <w:tcW w:w="545" w:type="dxa"/>
            <w:vAlign w:val="center"/>
          </w:tcPr>
          <w:p>
            <w:pPr>
              <w:spacing w:line="440" w:lineRule="exact"/>
              <w:ind w:firstLine="0" w:firstLineChars="0"/>
              <w:jc w:val="both"/>
              <w:rPr>
                <w:rFonts w:eastAsiaTheme="minorEastAsia"/>
                <w:sz w:val="20"/>
                <w:szCs w:val="20"/>
              </w:rPr>
            </w:pPr>
            <w:r>
              <w:rPr>
                <w:i/>
                <w:iCs/>
                <w:sz w:val="20"/>
                <w:szCs w:val="20"/>
              </w:rPr>
              <w:t>P</w:t>
            </w:r>
            <w:r>
              <w:rPr>
                <w:sz w:val="20"/>
                <w:szCs w:val="20"/>
                <w:vertAlign w:val="subscript"/>
              </w:rPr>
              <w:t>v1</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pPr>
            <w:r>
              <w:rPr>
                <w:rFonts w:hint="eastAsia"/>
              </w:rPr>
              <w:t>竖向肋板连接件承载力设计值；</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P</w:t>
            </w:r>
            <w:r>
              <w:rPr>
                <w:sz w:val="20"/>
                <w:szCs w:val="20"/>
                <w:vertAlign w:val="subscript"/>
              </w:rPr>
              <w:t>v2</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墙肢正面钢板承载力设计值；</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P</w:t>
            </w:r>
            <w:r>
              <w:rPr>
                <w:sz w:val="20"/>
                <w:szCs w:val="20"/>
                <w:vertAlign w:val="subscript"/>
              </w:rPr>
              <w:t>v3</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墙肢侧面钢板承载力设计值；</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h</w:t>
            </w:r>
            <w:r>
              <w:rPr>
                <w:sz w:val="20"/>
                <w:szCs w:val="20"/>
                <w:vertAlign w:val="subscript"/>
              </w:rPr>
              <w:t>1</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竖向肋板在H型钢翼缘外高度；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h</w:t>
            </w:r>
            <w:r>
              <w:rPr>
                <w:sz w:val="20"/>
                <w:szCs w:val="20"/>
                <w:vertAlign w:val="subscript"/>
              </w:rPr>
              <w:t>2</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竖向肋板在H型钢翼缘内高度；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t</w:t>
            </w:r>
            <w:r>
              <w:rPr>
                <w:sz w:val="20"/>
                <w:szCs w:val="20"/>
                <w:vertAlign w:val="subscript"/>
              </w:rPr>
              <w:t>sw</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剪力墙钢板厚度；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t</w:t>
            </w:r>
            <w:r>
              <w:rPr>
                <w:sz w:val="20"/>
                <w:szCs w:val="20"/>
                <w:vertAlign w:val="subscript"/>
              </w:rPr>
              <w:t>v1</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竖向肋板厚度；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t</w:t>
            </w:r>
            <w:r>
              <w:rPr>
                <w:sz w:val="20"/>
                <w:szCs w:val="20"/>
                <w:vertAlign w:val="subscript"/>
              </w:rPr>
              <w:t>f</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梁翼缘厚度；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f</w:t>
            </w:r>
            <w:r>
              <w:rPr>
                <w:sz w:val="20"/>
                <w:szCs w:val="20"/>
                <w:vertAlign w:val="subscript"/>
              </w:rPr>
              <w:t>v1</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竖向肋板屈服强度设计值；</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iCs/>
                <w:sz w:val="20"/>
                <w:szCs w:val="20"/>
              </w:rPr>
              <w:t>f</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剪力墙钢板屈服强度设计值；</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sz w:val="20"/>
                <w:szCs w:val="20"/>
              </w:rPr>
              <w:t>t</w:t>
            </w:r>
            <w:r>
              <w:rPr>
                <w:iCs/>
                <w:sz w:val="20"/>
                <w:szCs w:val="20"/>
                <w:vertAlign w:val="subscript"/>
              </w:rPr>
              <w:t>wc</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柱单腔室宽度；</w:t>
            </w:r>
          </w:p>
        </w:tc>
      </w:tr>
      <w:tr>
        <w:tblPrEx>
          <w:tblCellMar>
            <w:top w:w="0" w:type="dxa"/>
            <w:left w:w="108" w:type="dxa"/>
            <w:bottom w:w="0" w:type="dxa"/>
            <w:right w:w="108" w:type="dxa"/>
          </w:tblCellMar>
        </w:tblPrEx>
        <w:trPr>
          <w:jc w:val="center"/>
        </w:trPr>
        <w:tc>
          <w:tcPr>
            <w:tcW w:w="851" w:type="dxa"/>
            <w:gridSpan w:val="2"/>
            <w:vAlign w:val="center"/>
          </w:tcPr>
          <w:p>
            <w:pPr>
              <w:spacing w:line="440" w:lineRule="exact"/>
              <w:ind w:firstLine="0" w:firstLineChars="0"/>
              <w:jc w:val="both"/>
            </w:pPr>
          </w:p>
        </w:tc>
        <w:tc>
          <w:tcPr>
            <w:tcW w:w="545" w:type="dxa"/>
            <w:vAlign w:val="center"/>
          </w:tcPr>
          <w:p>
            <w:pPr>
              <w:spacing w:line="440" w:lineRule="exact"/>
              <w:ind w:firstLine="0" w:firstLineChars="0"/>
              <w:jc w:val="both"/>
              <w:rPr>
                <w:i/>
                <w:iCs/>
                <w:sz w:val="20"/>
                <w:szCs w:val="20"/>
              </w:rPr>
            </w:pPr>
            <w:r>
              <w:rPr>
                <w:i/>
                <w:sz w:val="20"/>
                <w:szCs w:val="20"/>
              </w:rPr>
              <w:t>n</w:t>
            </w:r>
          </w:p>
        </w:tc>
        <w:tc>
          <w:tcPr>
            <w:tcW w:w="708" w:type="dxa"/>
            <w:vAlign w:val="center"/>
          </w:tcPr>
          <w:p>
            <w:pPr>
              <w:spacing w:line="440" w:lineRule="exact"/>
              <w:ind w:firstLine="0" w:firstLineChars="0"/>
              <w:jc w:val="both"/>
            </w:pPr>
            <w:r>
              <w:t>——</w:t>
            </w:r>
          </w:p>
        </w:tc>
        <w:tc>
          <w:tcPr>
            <w:tcW w:w="6412" w:type="dxa"/>
            <w:gridSpan w:val="3"/>
            <w:vAlign w:val="center"/>
          </w:tcPr>
          <w:p>
            <w:pPr>
              <w:spacing w:line="440" w:lineRule="exact"/>
              <w:ind w:firstLine="0" w:firstLineChars="0"/>
              <w:jc w:val="both"/>
            </w:pPr>
            <w:r>
              <w:rPr>
                <w:rFonts w:hint="eastAsia"/>
              </w:rPr>
              <w:t>墙轴压比。</w:t>
            </w:r>
          </w:p>
        </w:tc>
      </w:tr>
    </w:tbl>
    <w:p>
      <w:pPr>
        <w:pStyle w:val="3"/>
        <w:spacing w:before="156" w:after="156"/>
        <w:ind w:firstLine="482"/>
      </w:pPr>
      <w:bookmarkStart w:id="55" w:name="_Toc4204"/>
      <w:r>
        <w:rPr>
          <w:rFonts w:hint="eastAsia"/>
        </w:rPr>
        <w:t xml:space="preserve"> 楼盖结构设计</w:t>
      </w:r>
      <w:bookmarkEnd w:id="55"/>
    </w:p>
    <w:p>
      <w:pPr>
        <w:pStyle w:val="4"/>
        <w:ind w:left="0"/>
      </w:pPr>
      <w:r>
        <w:rPr>
          <w:rFonts w:hint="eastAsia"/>
        </w:rPr>
        <w:t>开孔钢板组合剪力墙结构的楼盖类型选用应满足下列规定：</w:t>
      </w:r>
    </w:p>
    <w:p>
      <w:pPr>
        <w:ind w:firstLine="316" w:firstLineChars="150"/>
        <w:rPr>
          <w:b/>
          <w:bCs/>
          <w:szCs w:val="32"/>
        </w:rPr>
      </w:pPr>
      <w:r>
        <w:rPr>
          <w:rFonts w:hint="eastAsia"/>
          <w:b/>
          <w:bCs/>
          <w:szCs w:val="32"/>
        </w:rPr>
        <w:t xml:space="preserve">1 </w:t>
      </w:r>
      <w:r>
        <w:rPr>
          <w:rFonts w:hint="eastAsia"/>
          <w:szCs w:val="32"/>
        </w:rPr>
        <w:t>应选用整体刚度大、强度和抗震性能好的楼盖类型。</w:t>
      </w:r>
    </w:p>
    <w:p>
      <w:pPr>
        <w:ind w:firstLine="316" w:firstLineChars="150"/>
        <w:rPr>
          <w:b/>
          <w:bCs/>
          <w:szCs w:val="32"/>
        </w:rPr>
      </w:pPr>
      <w:r>
        <w:rPr>
          <w:rFonts w:hint="eastAsia"/>
          <w:b/>
          <w:bCs/>
          <w:szCs w:val="32"/>
        </w:rPr>
        <w:t xml:space="preserve">2 </w:t>
      </w:r>
      <w:r>
        <w:rPr>
          <w:rFonts w:hint="eastAsia"/>
          <w:szCs w:val="32"/>
        </w:rPr>
        <w:t>构造上应满足建筑防火要求及钢结构的抗腐蚀性能。</w:t>
      </w:r>
    </w:p>
    <w:p>
      <w:pPr>
        <w:ind w:firstLine="316" w:firstLineChars="150"/>
        <w:rPr>
          <w:szCs w:val="32"/>
        </w:rPr>
      </w:pPr>
      <w:r>
        <w:rPr>
          <w:rFonts w:hint="eastAsia"/>
          <w:b/>
          <w:bCs/>
          <w:szCs w:val="32"/>
        </w:rPr>
        <w:t>3</w:t>
      </w:r>
      <w:r>
        <w:rPr>
          <w:rFonts w:hint="eastAsia"/>
          <w:szCs w:val="32"/>
        </w:rPr>
        <w:t xml:space="preserve"> 宜根据钢结构住宅的特点选用标准化、通用化的楼盖构件。</w:t>
      </w:r>
    </w:p>
    <w:p>
      <w:pPr>
        <w:ind w:firstLine="316" w:firstLineChars="150"/>
        <w:rPr>
          <w:szCs w:val="32"/>
        </w:rPr>
      </w:pPr>
      <w:r>
        <w:rPr>
          <w:rFonts w:hint="eastAsia"/>
          <w:b/>
          <w:bCs/>
          <w:szCs w:val="32"/>
        </w:rPr>
        <w:t>4</w:t>
      </w:r>
      <w:r>
        <w:rPr>
          <w:rFonts w:hint="eastAsia"/>
          <w:szCs w:val="32"/>
        </w:rPr>
        <w:t xml:space="preserve"> 宜采用满足钢结构住宅节能、隔声并具备良好振动舒适度要求的组合楼盖。</w:t>
      </w:r>
    </w:p>
    <w:p>
      <w:pPr>
        <w:pStyle w:val="74"/>
        <w:ind w:firstLine="400"/>
      </w:pPr>
      <w:r>
        <w:rPr>
          <w:rFonts w:hint="eastAsia"/>
        </w:rPr>
        <w:t>【条文说明】该条引用自上海市《多高层钢结构住宅技术规程》DG/TJ 08-2029第4.4.1条。楼盖在结构受力上除抵抗竖向荷载外，其楼板尚有协同所有竖向构件参与整体抗侧工作，保证结构整体稳定性。故在楼板面内需确保一定的刚度和足够的抗剪强度，并确保楼板与钢梁及抗侧构件的连接强度。</w:t>
      </w:r>
    </w:p>
    <w:p>
      <w:pPr>
        <w:pStyle w:val="74"/>
        <w:ind w:firstLine="400"/>
      </w:pPr>
      <w:r>
        <w:rPr>
          <w:rFonts w:hint="eastAsia"/>
        </w:rPr>
        <w:t>钢筋混凝土楼板的最小截面厚度及保护层厚度应按现行国家标准《建筑设计防火规范》GB 50016及《高层民用建筑设计防火规范》GB 50045的相关规定执行。</w:t>
      </w:r>
    </w:p>
    <w:p>
      <w:pPr>
        <w:pStyle w:val="74"/>
        <w:ind w:firstLine="400"/>
        <w:rPr>
          <w:szCs w:val="22"/>
        </w:rPr>
      </w:pPr>
      <w:r>
        <w:rPr>
          <w:rFonts w:hint="eastAsia"/>
        </w:rPr>
        <w:t>装配式钢结构建筑的楼盖选型应符合建筑工业化的发展要求，改变现场支模、拆模的传统施工方式，减少现场施工工作量，充分发挥钢结构施工速度快的优势，采用标准化、通用化的组合楼板部品部件。楼板的构造选型还应考虑受力、隔声及楼盖舒适度的要求。</w:t>
      </w:r>
    </w:p>
    <w:p>
      <w:pPr>
        <w:pStyle w:val="4"/>
        <w:keepNext w:val="0"/>
        <w:keepLines w:val="0"/>
        <w:ind w:left="0"/>
      </w:pPr>
      <w:r>
        <w:rPr>
          <w:rFonts w:hint="eastAsia"/>
        </w:rPr>
        <w:t>装配式开孔钢板组合剪力墙结构的楼盖应符合下列要求：</w:t>
      </w:r>
    </w:p>
    <w:p>
      <w:pPr>
        <w:ind w:firstLine="316" w:firstLineChars="150"/>
      </w:pPr>
      <w:r>
        <w:rPr>
          <w:rFonts w:hint="eastAsia"/>
          <w:b/>
          <w:bCs/>
        </w:rPr>
        <w:t>1</w:t>
      </w:r>
      <w:r>
        <w:rPr>
          <w:rFonts w:hint="eastAsia"/>
        </w:rPr>
        <w:t xml:space="preserve"> 宜采用钢筋桁架楼承板组合楼板或压型钢板组合楼板或预制混凝土叠合楼板，并应与开孔钢板组合剪力墙构件和钢梁进行可靠连接。</w:t>
      </w:r>
    </w:p>
    <w:p>
      <w:pPr>
        <w:ind w:firstLine="316" w:firstLineChars="150"/>
      </w:pPr>
      <w:r>
        <w:rPr>
          <w:rFonts w:hint="eastAsia"/>
          <w:b/>
          <w:bCs/>
        </w:rPr>
        <w:t>2</w:t>
      </w:r>
      <w:r>
        <w:rPr>
          <w:rFonts w:hint="eastAsia"/>
        </w:rPr>
        <w:t xml:space="preserve"> 对6、7度时不超过50m的钢结构，尚可采用装配整体式钢筋混凝土楼板，也可采用装配式楼板或其他轻型楼板；但应将楼板预埋件与开孔钢板组合剪力墙和钢梁焊接，或采取其他保证楼盖整体性的措施。</w:t>
      </w:r>
    </w:p>
    <w:p>
      <w:pPr>
        <w:ind w:firstLine="316" w:firstLineChars="150"/>
      </w:pPr>
      <w:r>
        <w:rPr>
          <w:rFonts w:hint="eastAsia"/>
          <w:b/>
          <w:bCs/>
        </w:rPr>
        <w:t>3</w:t>
      </w:r>
      <w:r>
        <w:rPr>
          <w:rFonts w:hint="eastAsia"/>
        </w:rPr>
        <w:t xml:space="preserve"> 对转换层楼盖或楼板开大洞口等情况，必要时可设置水平支撑。</w:t>
      </w:r>
    </w:p>
    <w:p>
      <w:pPr>
        <w:pStyle w:val="74"/>
        <w:ind w:firstLine="400"/>
      </w:pPr>
      <w:r>
        <w:rPr>
          <w:rFonts w:hint="eastAsia"/>
        </w:rPr>
        <w:t>【条文说明】该条参考现行国家标准《建筑抗震设计规范》GB 50011第8.1.8条。</w:t>
      </w:r>
    </w:p>
    <w:p>
      <w:pPr>
        <w:pStyle w:val="4"/>
        <w:ind w:left="0"/>
      </w:pPr>
      <w:r>
        <w:rPr>
          <w:rFonts w:hint="eastAsia"/>
        </w:rPr>
        <w:t>装配式开孔钢板组合剪力墙结构的楼盖设计及计算应符合现行国家标准《混凝土结构设计规范》GB 50010、《建筑抗震设计规范》GB 50011的规定。并应满足下列要求：</w:t>
      </w:r>
    </w:p>
    <w:p>
      <w:pPr>
        <w:ind w:firstLine="316" w:firstLineChars="150"/>
      </w:pPr>
      <w:r>
        <w:rPr>
          <w:rFonts w:hint="eastAsia"/>
          <w:b/>
          <w:bCs/>
        </w:rPr>
        <w:t>1</w:t>
      </w:r>
      <w:r>
        <w:rPr>
          <w:rFonts w:hint="eastAsia"/>
        </w:rPr>
        <w:t xml:space="preserve"> 楼面厚度不宜小于110mm。</w:t>
      </w:r>
    </w:p>
    <w:p>
      <w:pPr>
        <w:ind w:firstLine="316" w:firstLineChars="150"/>
      </w:pPr>
      <w:r>
        <w:rPr>
          <w:rFonts w:hint="eastAsia"/>
          <w:b/>
          <w:bCs/>
        </w:rPr>
        <w:t>2</w:t>
      </w:r>
      <w:r>
        <w:rPr>
          <w:rFonts w:hint="eastAsia"/>
        </w:rPr>
        <w:t xml:space="preserve"> 顶层屋面板厚度不宜小于120mm，宜双层双向配筋。</w:t>
      </w:r>
    </w:p>
    <w:p>
      <w:pPr>
        <w:ind w:firstLine="316" w:firstLineChars="150"/>
      </w:pPr>
      <w:r>
        <w:rPr>
          <w:rFonts w:hint="eastAsia"/>
          <w:b/>
          <w:bCs/>
        </w:rPr>
        <w:t>3</w:t>
      </w:r>
      <w:r>
        <w:rPr>
          <w:rFonts w:hint="eastAsia"/>
        </w:rPr>
        <w:t xml:space="preserve"> 普通地下室顶板厚度不宜小于160mm，作为上部结构嵌固部位的地下室顶板厚度不宜小180mm，混凝土强度等级不宜低于C30，应采用双层双向配筋，且每层每个方向的配筋率不宜小于0.25。</w:t>
      </w:r>
    </w:p>
    <w:p>
      <w:pPr>
        <w:pStyle w:val="4"/>
        <w:ind w:left="0"/>
      </w:pPr>
      <w:r>
        <w:rPr>
          <w:rFonts w:hint="eastAsia"/>
        </w:rPr>
        <w:t>装配式开孔钢板组合剪力墙结构的楼盖设计应包含以下内容：</w:t>
      </w:r>
    </w:p>
    <w:p>
      <w:pPr>
        <w:ind w:firstLine="316" w:firstLineChars="150"/>
      </w:pPr>
      <w:r>
        <w:rPr>
          <w:rFonts w:hint="eastAsia"/>
          <w:b/>
          <w:bCs/>
        </w:rPr>
        <w:t>1</w:t>
      </w:r>
      <w:r>
        <w:rPr>
          <w:rFonts w:hint="eastAsia"/>
        </w:rPr>
        <w:t xml:space="preserve"> 楼盖设计包括使用阶段的承载力计算、正常使用阶段的变形验算和裂缝宽度验算、施工阶段的承载力和变形验算。</w:t>
      </w:r>
    </w:p>
    <w:p>
      <w:pPr>
        <w:ind w:firstLine="316" w:firstLineChars="150"/>
      </w:pPr>
      <w:r>
        <w:rPr>
          <w:rFonts w:hint="eastAsia"/>
          <w:b/>
          <w:bCs/>
        </w:rPr>
        <w:t>2</w:t>
      </w:r>
      <w:r>
        <w:rPr>
          <w:rFonts w:hint="eastAsia"/>
        </w:rPr>
        <w:t xml:space="preserve"> 组合楼板构件与现浇混凝土之间尚未形成组合作用的施工阶段，应作为一种独立设计工况进行计算，验算压型钢板、钢筋桁架楼承板、预制混凝土板的承载力和变形，此时施工荷载的取值不宜小于1.0kN/m</w:t>
      </w:r>
      <w:r>
        <w:rPr>
          <w:rFonts w:hint="eastAsia"/>
          <w:vertAlign w:val="superscript"/>
        </w:rPr>
        <w:t>2</w:t>
      </w:r>
      <w:r>
        <w:rPr>
          <w:rFonts w:hint="eastAsia"/>
        </w:rPr>
        <w:t>。</w:t>
      </w:r>
    </w:p>
    <w:p>
      <w:pPr>
        <w:pStyle w:val="4"/>
        <w:ind w:left="0"/>
      </w:pPr>
      <w:r>
        <w:rPr>
          <w:rFonts w:hint="eastAsia"/>
        </w:rPr>
        <w:t>楼板应与钢梁进行可靠连接，可采用圆柱头栓钉或其它可靠形式。</w:t>
      </w:r>
    </w:p>
    <w:p>
      <w:pPr>
        <w:rPr>
          <w:rFonts w:hAnsi="Calibri" w:cs="Calibri" w:asciiTheme="minorHAnsi"/>
        </w:rPr>
      </w:pPr>
    </w:p>
    <w:p>
      <w:pPr>
        <w:rPr>
          <w:rFonts w:hAnsi="Calibri" w:cs="Calibri" w:asciiTheme="minorHAnsi"/>
        </w:rPr>
        <w:sectPr>
          <w:pgSz w:w="11906" w:h="16838"/>
          <w:pgMar w:top="1474" w:right="1474" w:bottom="1474" w:left="1588" w:header="1418" w:footer="567" w:gutter="0"/>
          <w:cols w:space="425" w:num="1"/>
          <w:formProt w:val="0"/>
          <w:docGrid w:type="lines" w:linePitch="312" w:charSpace="0"/>
        </w:sectPr>
      </w:pPr>
    </w:p>
    <w:p>
      <w:pPr>
        <w:pStyle w:val="2"/>
        <w:spacing w:before="156" w:after="156"/>
        <w:ind w:firstLine="643"/>
        <w:rPr>
          <w:rFonts w:hAnsi="Calibri" w:cs="Calibri" w:asciiTheme="minorHAnsi"/>
        </w:rPr>
      </w:pPr>
      <w:bookmarkStart w:id="56" w:name="_Toc36207166"/>
      <w:bookmarkStart w:id="57" w:name="_Toc31717"/>
      <w:bookmarkStart w:id="58" w:name="_Toc36207171"/>
      <w:r>
        <w:rPr>
          <w:rFonts w:hAnsi="Calibri" w:cs="Calibri" w:asciiTheme="minorHAnsi"/>
        </w:rPr>
        <w:t>建筑设备管线设计</w:t>
      </w:r>
      <w:bookmarkEnd w:id="56"/>
      <w:bookmarkEnd w:id="57"/>
    </w:p>
    <w:p>
      <w:pPr>
        <w:pStyle w:val="3"/>
        <w:keepNext w:val="0"/>
        <w:keepLines w:val="0"/>
        <w:ind w:firstLine="482"/>
        <w:rPr>
          <w:rFonts w:hAnsi="Calibri" w:cs="Calibri" w:asciiTheme="minorHAnsi"/>
        </w:rPr>
      </w:pPr>
      <w:bookmarkStart w:id="59" w:name="_Toc22626"/>
      <w:bookmarkStart w:id="60" w:name="_Toc36207167"/>
      <w:r>
        <w:rPr>
          <w:rFonts w:hAnsi="Calibri" w:cs="Calibri" w:asciiTheme="minorHAnsi"/>
        </w:rPr>
        <w:t>一般规定</w:t>
      </w:r>
      <w:bookmarkEnd w:id="59"/>
      <w:bookmarkEnd w:id="60"/>
    </w:p>
    <w:p>
      <w:pPr>
        <w:pStyle w:val="4"/>
        <w:keepNext w:val="0"/>
        <w:keepLines w:val="0"/>
        <w:ind w:left="0"/>
        <w:rPr>
          <w:rFonts w:hAnsi="Calibri" w:cs="Calibri" w:asciiTheme="minorHAnsi"/>
        </w:rPr>
      </w:pPr>
      <w:r>
        <w:rPr>
          <w:rFonts w:hAnsi="Calibri" w:cs="Calibri" w:asciiTheme="minorHAnsi"/>
        </w:rPr>
        <w:t>机电设备管线的设计应相对集中、布置紧凑、合理利用空间。</w:t>
      </w:r>
    </w:p>
    <w:p>
      <w:pPr>
        <w:pStyle w:val="4"/>
        <w:keepNext w:val="0"/>
        <w:keepLines w:val="0"/>
        <w:ind w:left="0"/>
        <w:rPr>
          <w:rFonts w:hAnsi="Calibri" w:cs="Calibri" w:asciiTheme="minorHAnsi"/>
        </w:rPr>
      </w:pPr>
      <w:r>
        <w:rPr>
          <w:rFonts w:hAnsi="Calibri" w:cs="Calibri" w:asciiTheme="minorHAnsi"/>
        </w:rPr>
        <w:t>下列设施不应设置在住宅套内，应设置在共用空间内：</w:t>
      </w:r>
    </w:p>
    <w:p>
      <w:pPr>
        <w:ind w:firstLine="316" w:firstLineChars="150"/>
      </w:pPr>
      <w:r>
        <w:rPr>
          <w:rFonts w:hint="eastAsia"/>
          <w:b/>
          <w:bCs/>
        </w:rPr>
        <w:t xml:space="preserve">1 </w:t>
      </w:r>
      <w:r>
        <w:rPr>
          <w:rFonts w:hint="eastAsia"/>
        </w:rPr>
        <w:t>公共功能的管道，包括给水总立管、消防立管、雨水立管、采暖（空调）供回水总立管和配电和弱电干线（管）等，设置在开敞式阳台的雨水立管除外。</w:t>
      </w:r>
    </w:p>
    <w:p>
      <w:pPr>
        <w:ind w:firstLine="316" w:firstLineChars="150"/>
      </w:pPr>
      <w:r>
        <w:rPr>
          <w:rFonts w:hint="eastAsia"/>
          <w:b/>
          <w:bCs/>
        </w:rPr>
        <w:t xml:space="preserve">2 </w:t>
      </w:r>
      <w:r>
        <w:rPr>
          <w:rFonts w:hint="eastAsia"/>
        </w:rPr>
        <w:t>公共的管道阀门、电气设备和用于总体调节和检修的部件，户内排水立管检修口除外。</w:t>
      </w:r>
    </w:p>
    <w:p>
      <w:pPr>
        <w:ind w:firstLine="316" w:firstLineChars="150"/>
      </w:pPr>
      <w:r>
        <w:rPr>
          <w:rFonts w:hint="eastAsia"/>
          <w:b/>
          <w:bCs/>
        </w:rPr>
        <w:t xml:space="preserve">3 </w:t>
      </w:r>
      <w:r>
        <w:rPr>
          <w:rFonts w:hint="eastAsia"/>
        </w:rPr>
        <w:t>采暖管沟和电缆沟的检查孔。</w:t>
      </w:r>
    </w:p>
    <w:p>
      <w:pPr>
        <w:ind w:firstLine="316" w:firstLineChars="150"/>
      </w:pPr>
      <w:r>
        <w:rPr>
          <w:rFonts w:hint="eastAsia"/>
          <w:b/>
          <w:bCs/>
        </w:rPr>
        <w:t xml:space="preserve">4 </w:t>
      </w:r>
      <w:r>
        <w:rPr>
          <w:rFonts w:hint="eastAsia"/>
        </w:rPr>
        <w:t>管道井宜采用装配式部品。</w:t>
      </w:r>
    </w:p>
    <w:p>
      <w:pPr>
        <w:pStyle w:val="4"/>
        <w:keepNext w:val="0"/>
        <w:keepLines w:val="0"/>
        <w:ind w:left="0"/>
        <w:rPr>
          <w:rFonts w:hAnsi="Calibri" w:cs="Calibri" w:asciiTheme="minorHAnsi"/>
        </w:rPr>
      </w:pPr>
      <w:r>
        <w:rPr>
          <w:rFonts w:hAnsi="Calibri" w:cs="Calibri" w:asciiTheme="minorHAnsi"/>
        </w:rPr>
        <w:t>水表、热量表、燃气表、电能表的设置应便于管理。</w:t>
      </w:r>
    </w:p>
    <w:p>
      <w:pPr>
        <w:pStyle w:val="4"/>
        <w:keepNext w:val="0"/>
        <w:keepLines w:val="0"/>
        <w:ind w:left="0"/>
        <w:rPr>
          <w:rFonts w:hAnsi="Calibri" w:cs="Calibri" w:asciiTheme="minorHAnsi"/>
        </w:rPr>
      </w:pPr>
      <w:r>
        <w:rPr>
          <w:rFonts w:hAnsi="Calibri" w:cs="Calibri" w:asciiTheme="minorHAnsi"/>
        </w:rPr>
        <w:t>设备与管线系统设计应遵循标准化、模数化、系列化的原则，并与结构、内装、外围护系统进行一体化设计；当采用集成化新技术、新产品时应有可靠依据。</w:t>
      </w:r>
    </w:p>
    <w:p>
      <w:pPr>
        <w:pStyle w:val="4"/>
        <w:keepNext w:val="0"/>
        <w:keepLines w:val="0"/>
        <w:ind w:left="0"/>
        <w:rPr>
          <w:rFonts w:hAnsi="Calibri" w:cs="Calibri" w:asciiTheme="minorHAnsi"/>
        </w:rPr>
      </w:pPr>
      <w:r>
        <w:rPr>
          <w:rFonts w:hAnsi="Calibri" w:cs="Calibri" w:asciiTheme="minorHAnsi"/>
        </w:rPr>
        <w:t>设备与管线宜与主体结构相分离，应方便维修更换，且不影响主体结构安全；宜在架空层或吊顶内设置或结合装修方案做线槽。</w:t>
      </w:r>
    </w:p>
    <w:p>
      <w:pPr>
        <w:pStyle w:val="74"/>
        <w:widowControl w:val="0"/>
        <w:ind w:firstLine="400"/>
      </w:pPr>
      <w:r>
        <w:t>【条文说明】目前建筑设计，尤其是住宅建筑设计，一般均将设备管线埋在楼板或墙体中，把使用年限不同的主体结构和管线混在一起建造。若干年后，大量的建筑虽然主体结构尚可，但装修和设备等早已老化，改造更新困难，甚至不得不拆除重建，缩短了建筑使用寿命。因此提倡采用主体结构构件、内装修部品和设备管线三部分装配化集成技术，实现室内装修、设备管线与主体结构的分离。</w:t>
      </w:r>
    </w:p>
    <w:p>
      <w:pPr>
        <w:pStyle w:val="4"/>
        <w:keepNext w:val="0"/>
        <w:keepLines w:val="0"/>
        <w:ind w:left="0"/>
        <w:rPr>
          <w:rFonts w:hAnsi="Calibri" w:cs="Calibri" w:asciiTheme="minorHAnsi"/>
        </w:rPr>
      </w:pPr>
      <w:r>
        <w:rPr>
          <w:rFonts w:hAnsi="Calibri" w:cs="Calibri" w:asciiTheme="minorHAnsi"/>
        </w:rPr>
        <w:t>设备与管线应合理选型、准确定位。</w:t>
      </w:r>
    </w:p>
    <w:p>
      <w:pPr>
        <w:pStyle w:val="4"/>
        <w:keepNext w:val="0"/>
        <w:keepLines w:val="0"/>
        <w:ind w:left="0"/>
        <w:rPr>
          <w:rFonts w:hAnsi="Calibri" w:cs="Calibri" w:asciiTheme="minorHAnsi"/>
        </w:rPr>
      </w:pPr>
      <w:r>
        <w:rPr>
          <w:rFonts w:hAnsi="Calibri" w:cs="Calibri" w:asciiTheme="minorHAnsi"/>
        </w:rPr>
        <w:t>部品与配管连接、配管与主管道连接及部品间连接应采用标准化接口，标准化接口应满足通用性和固化性的要求，且应方便安装使用维护。</w:t>
      </w:r>
    </w:p>
    <w:p>
      <w:pPr>
        <w:pStyle w:val="74"/>
        <w:widowControl w:val="0"/>
        <w:ind w:firstLine="400"/>
      </w:pPr>
      <w:r>
        <w:t>【条文说明】本条参照现行国家标准《装配式混凝土建筑技术标准》GB/T51231第7.1.6条提出。装配式开孔钢板</w:t>
      </w:r>
      <w:r>
        <w:rPr>
          <w:rFonts w:hint="eastAsia" w:hAnsi="Calibri" w:cs="Calibri" w:asciiTheme="minorHAnsi"/>
        </w:rPr>
        <w:t>组合</w:t>
      </w:r>
      <w:r>
        <w:t>剪力墙住宅与装配式混凝土建筑对部品与配管连接、配管与主管道连接及部品间连接均应采用标准化接口，且应方便安装使用维护。</w:t>
      </w:r>
    </w:p>
    <w:p>
      <w:pPr>
        <w:pStyle w:val="4"/>
        <w:keepNext w:val="0"/>
        <w:keepLines w:val="0"/>
        <w:ind w:left="0"/>
        <w:rPr>
          <w:rFonts w:hAnsi="Calibri" w:cs="Calibri" w:asciiTheme="minorHAnsi"/>
        </w:rPr>
      </w:pPr>
      <w:r>
        <w:rPr>
          <w:rFonts w:hAnsi="Calibri" w:cs="Calibri" w:asciiTheme="minorHAnsi"/>
        </w:rPr>
        <w:t>设备与管线安装应满足结构专业相关要求，在预制构件加工制作阶段，应将各专业、各工种所需要的预留孔洞、预埋件等一并完成，避免在施工现场进行剔凿、切割。</w:t>
      </w:r>
    </w:p>
    <w:p>
      <w:pPr>
        <w:pStyle w:val="74"/>
        <w:widowControl w:val="0"/>
        <w:ind w:firstLine="400"/>
      </w:pPr>
      <w:r>
        <w:t>【条文说明】设备与管线应方便检查、维修、更换，且在维修更换时不影响主体结构。竖向管线宜集中布置于管井中。钢构件上为管线、设备及其吊挂配件预留的孔洞、沟槽宜选择对构件受力影响最小的部位，当条件受限无法满足上述要求时，建筑和结构专业应采取相应的处理措施。设计过程中设备专业应与建筑和结构专业密切沟通，防止遗漏。</w:t>
      </w:r>
    </w:p>
    <w:p>
      <w:pPr>
        <w:pStyle w:val="4"/>
        <w:keepNext w:val="0"/>
        <w:keepLines w:val="0"/>
        <w:ind w:left="0"/>
      </w:pPr>
      <w:r>
        <w:t>设备与管线穿越楼板和墙体时，应采取防水、防火、隔声、密封等措施，防火封堵应符合现行国家标准《建筑设计防火规范》GB 50016的规定。</w:t>
      </w:r>
    </w:p>
    <w:p>
      <w:pPr>
        <w:pStyle w:val="74"/>
        <w:widowControl w:val="0"/>
        <w:ind w:firstLine="400"/>
      </w:pPr>
      <w:r>
        <w:t>【条文说明】防火封堵的耐火极限不应低于贯穿部位构件（如建筑物墙、楼板等）的耐火极限，且不应低于1h。</w:t>
      </w:r>
    </w:p>
    <w:p>
      <w:pPr>
        <w:pStyle w:val="4"/>
        <w:keepNext w:val="0"/>
        <w:keepLines w:val="0"/>
        <w:ind w:left="0"/>
      </w:pPr>
      <w:r>
        <w:t>设备与管线的抗震设计应符合现行国家标准《建筑机电工程抗震设计规范》GB 50981的有关规定。</w:t>
      </w:r>
    </w:p>
    <w:p>
      <w:pPr>
        <w:pStyle w:val="4"/>
        <w:keepNext w:val="0"/>
        <w:keepLines w:val="0"/>
        <w:ind w:left="0"/>
      </w:pPr>
      <w:r>
        <w:t>各类设备与管线应综合设计，减少平面交叉，合理利用空间。设备与管线设计宜采用建筑信息模型（BIM）技术，当进行碰撞检查时，应明确被检测模型的精细度、碰撞检测范围及规则。</w:t>
      </w:r>
    </w:p>
    <w:p>
      <w:pPr>
        <w:pStyle w:val="74"/>
        <w:widowControl w:val="0"/>
        <w:ind w:firstLine="400"/>
      </w:pPr>
      <w:r>
        <w:t>【条文说明】可以采用包含BIM技术在内的多种技术手段开展三维管线综合设计，对各专业管线在预制构件上预留的套管、开孔、开槽位置尺寸进行综合及优化，形成标准化方案，并做好精细设计以及定位，避免错漏碰缺，降低生产及施工成本，减少现场返工。</w:t>
      </w:r>
    </w:p>
    <w:p>
      <w:pPr>
        <w:pStyle w:val="3"/>
        <w:keepNext w:val="0"/>
        <w:keepLines w:val="0"/>
        <w:ind w:firstLine="482"/>
        <w:rPr>
          <w:rFonts w:hAnsi="Calibri" w:cs="Calibri" w:asciiTheme="minorHAnsi"/>
        </w:rPr>
      </w:pPr>
      <w:bookmarkStart w:id="61" w:name="_Toc36207168"/>
      <w:bookmarkStart w:id="62" w:name="_Toc32354"/>
      <w:r>
        <w:rPr>
          <w:rFonts w:hAnsi="Calibri" w:cs="Calibri" w:asciiTheme="minorHAnsi"/>
        </w:rPr>
        <w:t>给水排水设计</w:t>
      </w:r>
      <w:bookmarkEnd w:id="61"/>
      <w:bookmarkEnd w:id="62"/>
    </w:p>
    <w:p>
      <w:pPr>
        <w:pStyle w:val="4"/>
        <w:keepNext w:val="0"/>
        <w:keepLines w:val="0"/>
        <w:ind w:left="0"/>
      </w:pPr>
      <w:r>
        <w:t>给水排水设计应符合现行国家标准《建筑给水排水设计标准》GB 50015、《住宅建筑规范》GB 50368和《住宅设计规范》GB 50096的规定。</w:t>
      </w:r>
    </w:p>
    <w:p>
      <w:pPr>
        <w:pStyle w:val="4"/>
        <w:keepNext w:val="0"/>
        <w:keepLines w:val="0"/>
        <w:ind w:left="0"/>
        <w:rPr>
          <w:rFonts w:hAnsi="Calibri" w:cs="Calibri" w:asciiTheme="minorHAnsi"/>
        </w:rPr>
      </w:pPr>
      <w:r>
        <w:rPr>
          <w:rFonts w:hAnsi="Calibri" w:cs="Calibri" w:asciiTheme="minorHAnsi"/>
        </w:rPr>
        <w:t>建筑内应依据现行相关规范和标准设置给水排水及消防系统，选择与其等级和规模相适应的设施设备，满足生活及消防等相关的要求。</w:t>
      </w:r>
    </w:p>
    <w:p>
      <w:pPr>
        <w:pStyle w:val="4"/>
        <w:keepNext w:val="0"/>
        <w:keepLines w:val="0"/>
        <w:ind w:left="0"/>
        <w:rPr>
          <w:rFonts w:hAnsi="Calibri" w:cs="Calibri" w:asciiTheme="minorHAnsi"/>
        </w:rPr>
      </w:pPr>
      <w:r>
        <w:rPr>
          <w:rFonts w:hAnsi="Calibri" w:cs="Calibri" w:asciiTheme="minorHAnsi"/>
        </w:rPr>
        <w:t>生活给水系统应充分利用城镇供水管网的水压直接供水。</w:t>
      </w:r>
    </w:p>
    <w:p>
      <w:pPr>
        <w:pStyle w:val="74"/>
        <w:widowControl w:val="0"/>
        <w:ind w:firstLine="400"/>
      </w:pPr>
      <w:r>
        <w:t>【条文说明】为节约能源，减少居民生活饮用水水质污染，建筑物底部的楼层应充分利用市政或小区给水管网的水压直接供水。</w:t>
      </w:r>
    </w:p>
    <w:p>
      <w:pPr>
        <w:pStyle w:val="4"/>
        <w:keepNext w:val="0"/>
        <w:keepLines w:val="0"/>
        <w:ind w:left="0"/>
        <w:rPr>
          <w:rFonts w:hAnsi="Calibri" w:cs="Calibri" w:asciiTheme="minorHAnsi"/>
        </w:rPr>
      </w:pPr>
      <w:r>
        <w:rPr>
          <w:rFonts w:hAnsi="Calibri" w:cs="Calibri" w:asciiTheme="minorHAnsi"/>
        </w:rPr>
        <w:t>给水系统设计应符合下列规定：</w:t>
      </w:r>
    </w:p>
    <w:p>
      <w:pPr>
        <w:ind w:firstLine="316" w:firstLineChars="150"/>
      </w:pPr>
      <w:r>
        <w:rPr>
          <w:rFonts w:hint="eastAsia"/>
          <w:b/>
          <w:bCs/>
        </w:rPr>
        <w:t>1</w:t>
      </w:r>
      <w:r>
        <w:rPr>
          <w:rFonts w:hint="eastAsia"/>
        </w:rPr>
        <w:t xml:space="preserve"> 给水系统配水管道与部品的接口的形式及位置应便于检修更换，并应采取措施避免结构或温度变形对给水管道接口产生影响。</w:t>
      </w:r>
    </w:p>
    <w:p>
      <w:pPr>
        <w:ind w:firstLine="316" w:firstLineChars="150"/>
      </w:pPr>
      <w:r>
        <w:rPr>
          <w:rFonts w:hint="eastAsia"/>
          <w:b/>
          <w:bCs/>
        </w:rPr>
        <w:t>2</w:t>
      </w:r>
      <w:r>
        <w:rPr>
          <w:rFonts w:hint="eastAsia"/>
        </w:rPr>
        <w:t xml:space="preserve"> 给水分水器与用水器具的管道应一对一连接，在架空层或吊顶内敷设时，管道中间不得有连接配件；给水分水器设置位置宜有排水措施，当不便设置时，分水器的安装标高应高于最低放水点的标高，并便于检修。</w:t>
      </w:r>
    </w:p>
    <w:p>
      <w:pPr>
        <w:ind w:firstLine="316" w:firstLineChars="150"/>
      </w:pPr>
      <w:r>
        <w:rPr>
          <w:rFonts w:hint="eastAsia"/>
          <w:b/>
          <w:bCs/>
        </w:rPr>
        <w:t>3</w:t>
      </w:r>
      <w:r>
        <w:rPr>
          <w:rFonts w:hint="eastAsia"/>
        </w:rPr>
        <w:t xml:space="preserve"> 宜采用装配式的管线及其配件。</w:t>
      </w:r>
    </w:p>
    <w:p>
      <w:pPr>
        <w:pStyle w:val="74"/>
        <w:widowControl w:val="0"/>
        <w:ind w:firstLine="400"/>
      </w:pPr>
      <w:r>
        <w:t>【条文说明】对原国家标准中针对给水系统设计的相关内容进行了整理和归纳。为便于日后管道维修拆卸，给水系统的给水立管与部品配水管道的接口宜设置内螺纹活接连接。实际工程中由于未采用活接头，在遇到有拆卸管路要求的检修时，只能采取断管措施，增加了不必要的施工量。采用装配式的管线及其配件连接，可减少现场焊接、热熔工作。</w:t>
      </w:r>
    </w:p>
    <w:p>
      <w:pPr>
        <w:pStyle w:val="4"/>
        <w:keepNext w:val="0"/>
        <w:keepLines w:val="0"/>
        <w:ind w:left="0"/>
        <w:rPr>
          <w:rFonts w:hAnsi="Calibri" w:cs="Calibri" w:asciiTheme="minorHAnsi"/>
        </w:rPr>
      </w:pPr>
      <w:r>
        <w:rPr>
          <w:rFonts w:hAnsi="Calibri" w:cs="Calibri" w:asciiTheme="minorHAnsi"/>
        </w:rPr>
        <w:t>厨房、卫生间排水管道应采用同层排水方式敷设，并应结合建筑层高、楼板跨度、厨卫部品及管道长度、坡度等因素综合确定。同层排水管道敷设在回填层时，宜设置积水排出设施。</w:t>
      </w:r>
    </w:p>
    <w:p>
      <w:pPr>
        <w:pStyle w:val="74"/>
        <w:widowControl w:val="0"/>
        <w:ind w:firstLine="400"/>
      </w:pPr>
      <w:r>
        <w:t>【条文说明】同层排水管道敷设方式宜考虑回填层排水。卫生间沉箱内的积水，可采用立管上设置积水排除装置等方式排水，且积水排除装置应具备防臭、防返溢、防虫害等功能。回填同层排水，管道接口应采用安全可靠的热熔承插连接，对于架空同层排水管道接口可采用承插式胶圈密封柔性连接。</w:t>
      </w:r>
    </w:p>
    <w:p>
      <w:pPr>
        <w:pStyle w:val="4"/>
        <w:keepNext w:val="0"/>
        <w:keepLines w:val="0"/>
        <w:ind w:left="0"/>
        <w:rPr>
          <w:rFonts w:hAnsi="Calibri" w:cs="Calibri" w:asciiTheme="minorHAnsi"/>
        </w:rPr>
      </w:pPr>
      <w:r>
        <w:rPr>
          <w:rFonts w:hAnsi="Calibri" w:cs="Calibri" w:asciiTheme="minorHAnsi"/>
        </w:rPr>
        <w:t>有压管道，宜采用在预制构件上预留孔洞的设计；给排水支管预留孔洞应优先考虑水平方向孔洞。</w:t>
      </w:r>
    </w:p>
    <w:p>
      <w:pPr>
        <w:pStyle w:val="4"/>
        <w:keepNext w:val="0"/>
        <w:keepLines w:val="0"/>
        <w:ind w:left="0"/>
        <w:rPr>
          <w:rFonts w:hAnsi="Calibri" w:cs="Calibri" w:asciiTheme="minorHAnsi"/>
        </w:rPr>
      </w:pPr>
      <w:r>
        <w:rPr>
          <w:rFonts w:hAnsi="Calibri" w:cs="Calibri" w:asciiTheme="minorHAnsi"/>
        </w:rPr>
        <w:t>集成式厨房、卫生间应预留相应的给水、热水、排水管道接口，预留管道外壁应按设计规定进行标识。</w:t>
      </w:r>
    </w:p>
    <w:p>
      <w:pPr>
        <w:pStyle w:val="4"/>
        <w:keepNext w:val="0"/>
        <w:keepLines w:val="0"/>
        <w:ind w:left="0"/>
        <w:rPr>
          <w:rFonts w:hAnsi="Calibri" w:cs="Calibri" w:asciiTheme="minorHAnsi"/>
        </w:rPr>
      </w:pPr>
      <w:r>
        <w:rPr>
          <w:rFonts w:hAnsi="Calibri" w:cs="Calibri" w:asciiTheme="minorHAnsi"/>
        </w:rPr>
        <w:t>当建筑塑料排水管穿越楼层、防火墙、管道井井壁时，应根据建筑物性质、管径和设置条件以及穿越部位防火等级等要求设置阻火装置。</w:t>
      </w:r>
    </w:p>
    <w:p>
      <w:pPr>
        <w:pStyle w:val="4"/>
        <w:keepNext w:val="0"/>
        <w:keepLines w:val="0"/>
        <w:ind w:left="0"/>
        <w:rPr>
          <w:rFonts w:hAnsi="Calibri" w:cs="Calibri" w:asciiTheme="minorHAnsi"/>
        </w:rPr>
      </w:pPr>
      <w:r>
        <w:rPr>
          <w:rFonts w:hAnsi="Calibri" w:cs="Calibri" w:asciiTheme="minorHAnsi"/>
        </w:rPr>
        <w:t>敷设在吊顶或楼地面架空层内的给水排水设备管线应采取防腐蚀、隔声减噪和防结露等措施。</w:t>
      </w:r>
    </w:p>
    <w:p>
      <w:pPr>
        <w:pStyle w:val="4"/>
        <w:keepNext w:val="0"/>
        <w:keepLines w:val="0"/>
        <w:ind w:left="0"/>
        <w:rPr>
          <w:rFonts w:hAnsi="Calibri" w:cs="Calibri" w:asciiTheme="minorHAnsi"/>
        </w:rPr>
      </w:pPr>
      <w:r>
        <w:rPr>
          <w:rFonts w:hAnsi="Calibri" w:cs="Calibri" w:asciiTheme="minorHAnsi"/>
        </w:rPr>
        <w:t>阀门、管件、管材设备应选用耐腐蚀、降噪性能好、连接可靠、密封性能好、使用寿命长、便于安装及更换的产品。</w:t>
      </w:r>
    </w:p>
    <w:p>
      <w:pPr>
        <w:pStyle w:val="3"/>
        <w:keepNext w:val="0"/>
        <w:keepLines w:val="0"/>
        <w:ind w:firstLine="482"/>
        <w:rPr>
          <w:rFonts w:hAnsi="Calibri" w:cs="Calibri" w:asciiTheme="minorHAnsi"/>
        </w:rPr>
      </w:pPr>
      <w:bookmarkStart w:id="63" w:name="_Toc36207169"/>
      <w:bookmarkStart w:id="64" w:name="_Toc20843"/>
      <w:r>
        <w:rPr>
          <w:rFonts w:hAnsi="Calibri" w:cs="Calibri" w:asciiTheme="minorHAnsi"/>
        </w:rPr>
        <w:t>电气和智能化设计</w:t>
      </w:r>
      <w:bookmarkEnd w:id="63"/>
      <w:bookmarkEnd w:id="64"/>
    </w:p>
    <w:p>
      <w:pPr>
        <w:pStyle w:val="4"/>
        <w:keepNext w:val="0"/>
        <w:keepLines w:val="0"/>
        <w:ind w:left="0"/>
      </w:pPr>
      <w:r>
        <w:t>供配电设计应满足现行国家</w:t>
      </w:r>
      <w:r>
        <w:rPr>
          <w:rFonts w:hint="eastAsia"/>
        </w:rPr>
        <w:t>和行业</w:t>
      </w:r>
      <w:r>
        <w:t>标准《供配电系统设计规范》GB 50052、《低压配电设计规范》GB 50054、《20kV及以下变电所设计规范》GB 50053、《电力工程电缆设计标准》GB 50217、《住宅建筑电气设计规范》JGJ 242等相关要求。</w:t>
      </w:r>
    </w:p>
    <w:p>
      <w:pPr>
        <w:pStyle w:val="4"/>
        <w:keepNext w:val="0"/>
        <w:keepLines w:val="0"/>
        <w:ind w:left="0"/>
      </w:pPr>
      <w:r>
        <w:t>照明设计应满足现行国家标准《建筑照明设计标准》GB 50034等相关要求。</w:t>
      </w:r>
    </w:p>
    <w:p>
      <w:pPr>
        <w:pStyle w:val="4"/>
        <w:keepNext w:val="0"/>
        <w:keepLines w:val="0"/>
        <w:ind w:left="0"/>
      </w:pPr>
      <w:r>
        <w:t>防雷及接地设计应满足现行国家标准《建筑物防雷设计规范》GB 50057、《建筑物电子信息系统防雷技术规范》GB 50343等相关要求。</w:t>
      </w:r>
    </w:p>
    <w:p>
      <w:pPr>
        <w:pStyle w:val="4"/>
        <w:keepNext w:val="0"/>
        <w:keepLines w:val="0"/>
        <w:ind w:left="0"/>
      </w:pPr>
      <w:r>
        <w:t>消防设计应现行国家标准《建筑设计防火规范》GB 50016、《火灾自动报警系统设计规范》GB 50116、《消防应急照明和疏散指示系统技术标准》GB 51309等相关要求。</w:t>
      </w:r>
    </w:p>
    <w:p>
      <w:pPr>
        <w:pStyle w:val="4"/>
        <w:keepNext w:val="0"/>
        <w:keepLines w:val="0"/>
        <w:ind w:left="0"/>
      </w:pPr>
      <w:r>
        <w:t>其它弱电系统的设计满足现行国家标准《有线电视网络工程设计标准》GB/T 50200、《视频安防监控系统工程设计规范》GB 50395、《综合布线系统工程设计规范》GB 50311、《智能建筑设计标准》GB 50314等相关要求。</w:t>
      </w:r>
    </w:p>
    <w:p>
      <w:pPr>
        <w:pStyle w:val="3"/>
        <w:keepNext w:val="0"/>
        <w:keepLines w:val="0"/>
        <w:ind w:firstLine="482"/>
        <w:rPr>
          <w:rFonts w:hAnsi="Calibri" w:cs="Calibri" w:asciiTheme="minorHAnsi"/>
        </w:rPr>
      </w:pPr>
      <w:bookmarkStart w:id="65" w:name="_Toc36207170"/>
      <w:bookmarkStart w:id="66" w:name="_Toc25312"/>
      <w:r>
        <w:rPr>
          <w:rFonts w:hAnsi="Calibri" w:cs="Calibri" w:asciiTheme="minorHAnsi"/>
        </w:rPr>
        <w:t>建筑供暖、通风、空调及燃气设计</w:t>
      </w:r>
      <w:bookmarkEnd w:id="65"/>
      <w:bookmarkEnd w:id="66"/>
    </w:p>
    <w:p>
      <w:pPr>
        <w:pStyle w:val="4"/>
        <w:keepNext w:val="0"/>
        <w:keepLines w:val="0"/>
        <w:ind w:left="0"/>
      </w:pPr>
      <w:r>
        <w:t>供暖、通风与空调设计应满足现行国家</w:t>
      </w:r>
      <w:r>
        <w:rPr>
          <w:rFonts w:hint="eastAsia"/>
        </w:rPr>
        <w:t>及地方</w:t>
      </w:r>
      <w:r>
        <w:t>标准《民用建筑供暖通风与空气调节设计规范》GB 50736、《建筑防烟排烟系统技术标准》GB 51251、《建筑设计防火规范》GB 50016、《建筑机电工程抗震设计规范》GB 50981、《</w:t>
      </w:r>
      <w:r>
        <w:rPr>
          <w:rFonts w:hint="eastAsia"/>
        </w:rPr>
        <w:t>重庆市</w:t>
      </w:r>
      <w:r>
        <w:t>公共建筑节能（绿色建筑）设计标准》DBJ 50-052等相关要求。</w:t>
      </w:r>
    </w:p>
    <w:p>
      <w:pPr>
        <w:pStyle w:val="4"/>
        <w:keepNext w:val="0"/>
        <w:keepLines w:val="0"/>
        <w:ind w:left="0"/>
        <w:rPr>
          <w:rFonts w:hAnsi="Calibri" w:cs="Calibri" w:asciiTheme="minorHAnsi"/>
        </w:rPr>
      </w:pPr>
      <w:r>
        <w:rPr>
          <w:rFonts w:hAnsi="Calibri" w:cs="Calibri" w:asciiTheme="minorHAnsi"/>
        </w:rPr>
        <w:t>新风量应能满足室内卫生要求，并应充分利用自然通风。</w:t>
      </w:r>
    </w:p>
    <w:p>
      <w:pPr>
        <w:pStyle w:val="4"/>
        <w:keepNext w:val="0"/>
        <w:keepLines w:val="0"/>
        <w:ind w:left="0"/>
        <w:rPr>
          <w:rFonts w:hAnsi="Calibri" w:cs="Calibri" w:asciiTheme="minorHAnsi"/>
        </w:rPr>
      </w:pPr>
      <w:r>
        <w:rPr>
          <w:rFonts w:hAnsi="Calibri" w:cs="Calibri" w:asciiTheme="minorHAnsi"/>
        </w:rPr>
        <w:t>室内设置供暖系统时，应符合下列规定：</w:t>
      </w:r>
    </w:p>
    <w:p>
      <w:pPr>
        <w:ind w:firstLine="316" w:firstLineChars="150"/>
      </w:pPr>
      <w:r>
        <w:rPr>
          <w:rFonts w:hint="eastAsia"/>
          <w:b/>
          <w:bCs/>
        </w:rPr>
        <w:t>1</w:t>
      </w:r>
      <w:r>
        <w:rPr>
          <w:rFonts w:hint="eastAsia"/>
        </w:rPr>
        <w:t>优先选用干式低温热水地板辐射供暖系统。</w:t>
      </w:r>
    </w:p>
    <w:p>
      <w:pPr>
        <w:ind w:firstLine="316" w:firstLineChars="150"/>
      </w:pPr>
      <w:r>
        <w:rPr>
          <w:rFonts w:hint="eastAsia"/>
          <w:b/>
          <w:bCs/>
        </w:rPr>
        <w:t>2</w:t>
      </w:r>
      <w:r>
        <w:rPr>
          <w:rFonts w:hint="eastAsia"/>
        </w:rPr>
        <w:t>采用散热器供暖时，供回水管宜优先选用干法施工，安装散热器的墙板构件应采取加强措施。</w:t>
      </w:r>
    </w:p>
    <w:p>
      <w:pPr>
        <w:pStyle w:val="4"/>
        <w:keepNext w:val="0"/>
        <w:keepLines w:val="0"/>
        <w:ind w:left="0"/>
        <w:rPr>
          <w:rFonts w:hAnsi="Calibri" w:cs="Calibri" w:asciiTheme="minorHAnsi"/>
        </w:rPr>
      </w:pPr>
      <w:r>
        <w:rPr>
          <w:rFonts w:hAnsi="Calibri" w:cs="Calibri" w:asciiTheme="minorHAnsi"/>
        </w:rPr>
        <w:t>同层排水架空地板的卫生间部分不宜采用低温热水地板辐射供暖系统。</w:t>
      </w:r>
    </w:p>
    <w:p>
      <w:pPr>
        <w:pStyle w:val="4"/>
        <w:keepNext w:val="0"/>
        <w:keepLines w:val="0"/>
        <w:ind w:left="0"/>
      </w:pPr>
      <w:r>
        <w:t>无外窗的卫生间应设置防止倒流的机械排风系统，且应留有所需的进风面积，其房间的全面通风换气次数不宜小于3次/h。</w:t>
      </w:r>
    </w:p>
    <w:p>
      <w:pPr>
        <w:pStyle w:val="4"/>
        <w:keepNext w:val="0"/>
        <w:keepLines w:val="0"/>
        <w:ind w:left="0"/>
        <w:rPr>
          <w:rFonts w:hAnsi="Calibri" w:cs="Calibri" w:asciiTheme="minorHAnsi"/>
        </w:rPr>
      </w:pPr>
      <w:r>
        <w:rPr>
          <w:rFonts w:hAnsi="Calibri" w:cs="Calibri" w:asciiTheme="minorHAnsi"/>
        </w:rPr>
        <w:t>供暖、通风及空调系统冷热输送管道应符合相关规范要求采取防结露和绝热措施，冷热水管道固定于梁柱等钢构件上时，应采用绝热支架。</w:t>
      </w:r>
    </w:p>
    <w:p>
      <w:pPr>
        <w:pStyle w:val="4"/>
        <w:keepNext w:val="0"/>
        <w:keepLines w:val="0"/>
        <w:ind w:left="0"/>
        <w:rPr>
          <w:rFonts w:hAnsi="Calibri" w:cs="Calibri" w:asciiTheme="minorHAnsi"/>
        </w:rPr>
      </w:pPr>
      <w:r>
        <w:rPr>
          <w:rFonts w:hAnsi="Calibri" w:cs="Calibri" w:asciiTheme="minorHAnsi"/>
        </w:rPr>
        <w:t>空调及通风系统的设备及管道宜结合建筑方案进行整体设计，并应预留接口位置。</w:t>
      </w:r>
    </w:p>
    <w:p>
      <w:pPr>
        <w:pStyle w:val="4"/>
        <w:keepNext w:val="0"/>
        <w:keepLines w:val="0"/>
        <w:ind w:left="0"/>
        <w:rPr>
          <w:rFonts w:hAnsi="Calibri" w:cs="Calibri" w:asciiTheme="minorHAnsi"/>
        </w:rPr>
      </w:pPr>
      <w:r>
        <w:rPr>
          <w:rFonts w:hAnsi="Calibri" w:cs="Calibri" w:asciiTheme="minorHAnsi"/>
        </w:rPr>
        <w:t>设备基础和构件应与主体结构牢固连接、按设备技术要求预留孔洞，并应采取减震措施。供暖及通风管道应采用牢固的支、吊架并应有防颤措施。</w:t>
      </w:r>
    </w:p>
    <w:p>
      <w:pPr>
        <w:pStyle w:val="4"/>
        <w:keepNext w:val="0"/>
        <w:keepLines w:val="0"/>
        <w:ind w:left="0"/>
        <w:rPr>
          <w:rFonts w:hAnsi="Calibri" w:cs="Calibri" w:asciiTheme="minorHAnsi"/>
        </w:rPr>
      </w:pPr>
      <w:r>
        <w:rPr>
          <w:rFonts w:hAnsi="Calibri" w:cs="Calibri" w:asciiTheme="minorHAnsi"/>
        </w:rPr>
        <w:t>厨房、卫浴设置水平排气系统时，其室外排气口应采取避风、防雨、防止污染墙面等措施。</w:t>
      </w:r>
    </w:p>
    <w:p>
      <w:pPr>
        <w:pStyle w:val="4"/>
        <w:keepNext w:val="0"/>
        <w:keepLines w:val="0"/>
        <w:ind w:left="0"/>
      </w:pPr>
      <w:r>
        <w:t>供暖、通风与空调系统应符合现行地方标准重庆市《居住建筑节能65%设计标准》DBJ 50-071和《居住建筑节能50%设计标准》DBJ 50-102中的有关规定。</w:t>
      </w:r>
    </w:p>
    <w:p>
      <w:pPr>
        <w:pStyle w:val="4"/>
        <w:keepNext w:val="0"/>
        <w:keepLines w:val="0"/>
        <w:ind w:left="0"/>
      </w:pPr>
      <w:r>
        <w:t>消防系统符合现行国家标准《建筑设计防火规范》GB 50016和《建筑防烟排烟系统技术标准》GB 51251。</w:t>
      </w:r>
    </w:p>
    <w:p>
      <w:pPr>
        <w:pStyle w:val="4"/>
        <w:keepNext w:val="0"/>
        <w:keepLines w:val="0"/>
        <w:ind w:left="0"/>
      </w:pPr>
      <w:r>
        <w:t>燃气系统管线设计应符合现行国家标准《城镇燃气设计规范》GB 50028</w:t>
      </w:r>
      <w:r>
        <w:rPr>
          <w:rFonts w:hint="eastAsia"/>
        </w:rPr>
        <w:t>、</w:t>
      </w:r>
      <w:r>
        <w:t>《液化石油气供应工程设计规范》GB 51142、《压缩天然气供应站设计规范》GB 51102的规定。</w:t>
      </w:r>
    </w:p>
    <w:p>
      <w:pPr>
        <w:widowControl/>
        <w:spacing w:line="240" w:lineRule="auto"/>
        <w:rPr>
          <w:rFonts w:hAnsi="Calibri" w:cs="Calibri" w:asciiTheme="minorHAnsi"/>
          <w:b/>
          <w:bCs/>
          <w:kern w:val="44"/>
          <w:sz w:val="32"/>
          <w:szCs w:val="44"/>
        </w:rPr>
      </w:pPr>
      <w:r>
        <w:rPr>
          <w:rFonts w:hAnsi="Calibri" w:cs="Calibri" w:asciiTheme="minorHAnsi"/>
        </w:rPr>
        <w:br w:type="page"/>
      </w:r>
    </w:p>
    <w:p>
      <w:pPr>
        <w:pStyle w:val="2"/>
        <w:spacing w:before="156" w:after="156"/>
        <w:ind w:firstLine="643"/>
        <w:rPr>
          <w:rFonts w:hAnsi="Calibri" w:cs="Calibri" w:asciiTheme="minorHAnsi"/>
        </w:rPr>
      </w:pPr>
      <w:bookmarkStart w:id="67" w:name="_Toc16834"/>
      <w:r>
        <w:rPr>
          <w:rFonts w:hAnsi="Calibri" w:cs="Calibri" w:asciiTheme="minorHAnsi"/>
        </w:rPr>
        <w:t>钢结构的防护</w:t>
      </w:r>
      <w:bookmarkEnd w:id="58"/>
      <w:bookmarkEnd w:id="67"/>
    </w:p>
    <w:p>
      <w:pPr>
        <w:pStyle w:val="3"/>
        <w:keepNext w:val="0"/>
        <w:keepLines w:val="0"/>
        <w:ind w:firstLine="482"/>
        <w:rPr>
          <w:rFonts w:hAnsi="Calibri" w:cs="Calibri" w:asciiTheme="minorHAnsi"/>
        </w:rPr>
      </w:pPr>
      <w:bookmarkStart w:id="68" w:name="_Toc4749"/>
      <w:bookmarkStart w:id="69" w:name="_Toc36207172"/>
      <w:bookmarkStart w:id="70" w:name="_Toc534197575"/>
      <w:bookmarkStart w:id="71" w:name="_Toc503193752"/>
      <w:r>
        <w:rPr>
          <w:rFonts w:hAnsi="Calibri" w:cs="Calibri" w:asciiTheme="minorHAnsi"/>
        </w:rPr>
        <w:t>防火设计</w:t>
      </w:r>
      <w:bookmarkEnd w:id="68"/>
      <w:bookmarkEnd w:id="69"/>
      <w:bookmarkEnd w:id="70"/>
      <w:bookmarkEnd w:id="71"/>
    </w:p>
    <w:p>
      <w:pPr>
        <w:pStyle w:val="4"/>
        <w:keepNext w:val="0"/>
        <w:keepLines w:val="0"/>
        <w:ind w:left="0"/>
        <w:rPr>
          <w:rFonts w:hAnsi="Calibri" w:cs="Calibri" w:asciiTheme="minorHAnsi"/>
        </w:rPr>
      </w:pPr>
      <w:r>
        <w:rPr>
          <w:rFonts w:hAnsi="Calibri" w:cs="Calibri" w:asciiTheme="minorHAnsi"/>
        </w:rPr>
        <w:t>装配式开孔钢板组合剪力墙结构住宅防火保护措施及其构造应根据工程实际，考虑结构类型、耐火极限要求、工作环境等，按照安全可靠、经济合理的原则确定。</w:t>
      </w:r>
    </w:p>
    <w:p>
      <w:pPr>
        <w:pStyle w:val="4"/>
        <w:keepNext w:val="0"/>
        <w:keepLines w:val="0"/>
        <w:ind w:left="0"/>
        <w:rPr>
          <w:rFonts w:hAnsi="Calibri" w:cs="Calibri" w:asciiTheme="minorHAnsi"/>
        </w:rPr>
      </w:pPr>
      <w:r>
        <w:rPr>
          <w:rFonts w:hAnsi="Calibri" w:cs="Calibri" w:asciiTheme="minorHAnsi"/>
        </w:rPr>
        <w:t>装配式开孔钢板组合剪力墙结构住宅的设计文件中应有防火保护设计的内容。应注明结构的设计耐火等级，构件的设计耐火极限、所需要的防火保护措施及其防火保护材料的性能要求。高层住宅建筑根据其建筑高度和楼层的建筑面积可分为一类和二类。</w:t>
      </w:r>
    </w:p>
    <w:p>
      <w:pPr>
        <w:pStyle w:val="71"/>
        <w:ind w:firstLine="361"/>
      </w:pPr>
      <w:r>
        <w:t>表7.1.2 住宅建筑的分类</w:t>
      </w:r>
    </w:p>
    <w:tbl>
      <w:tblPr>
        <w:tblStyle w:val="44"/>
        <w:tblW w:w="881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429"/>
        <w:gridCol w:w="2828"/>
        <w:gridCol w:w="22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0" w:type="dxa"/>
            <w:vMerge w:val="restart"/>
            <w:tcBorders>
              <w:tl2br w:val="nil"/>
              <w:tr2bl w:val="nil"/>
            </w:tcBorders>
            <w:vAlign w:val="center"/>
          </w:tcPr>
          <w:p>
            <w:pPr>
              <w:pStyle w:val="72"/>
              <w:ind w:firstLine="0" w:firstLineChars="0"/>
            </w:pPr>
            <w:r>
              <w:t>名称</w:t>
            </w:r>
          </w:p>
        </w:tc>
        <w:tc>
          <w:tcPr>
            <w:tcW w:w="5257" w:type="dxa"/>
            <w:gridSpan w:val="2"/>
            <w:tcBorders>
              <w:tl2br w:val="nil"/>
              <w:tr2bl w:val="nil"/>
            </w:tcBorders>
            <w:vAlign w:val="center"/>
          </w:tcPr>
          <w:p>
            <w:pPr>
              <w:pStyle w:val="72"/>
              <w:ind w:firstLine="0" w:firstLineChars="0"/>
            </w:pPr>
            <w:r>
              <w:t>高层住宅建筑</w:t>
            </w:r>
          </w:p>
        </w:tc>
        <w:tc>
          <w:tcPr>
            <w:tcW w:w="2297" w:type="dxa"/>
            <w:vMerge w:val="restart"/>
            <w:tcBorders>
              <w:tl2br w:val="nil"/>
              <w:tr2bl w:val="nil"/>
            </w:tcBorders>
            <w:vAlign w:val="center"/>
          </w:tcPr>
          <w:p>
            <w:pPr>
              <w:pStyle w:val="72"/>
              <w:ind w:firstLine="0" w:firstLineChars="0"/>
            </w:pPr>
            <w:r>
              <w:t>多层民用建筑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0" w:type="dxa"/>
            <w:vMerge w:val="continue"/>
            <w:tcBorders>
              <w:tl2br w:val="nil"/>
              <w:tr2bl w:val="nil"/>
            </w:tcBorders>
          </w:tcPr>
          <w:p>
            <w:pPr>
              <w:pStyle w:val="72"/>
              <w:ind w:firstLine="360"/>
            </w:pPr>
          </w:p>
        </w:tc>
        <w:tc>
          <w:tcPr>
            <w:tcW w:w="2429" w:type="dxa"/>
            <w:tcBorders>
              <w:tl2br w:val="nil"/>
              <w:tr2bl w:val="nil"/>
            </w:tcBorders>
          </w:tcPr>
          <w:p>
            <w:pPr>
              <w:pStyle w:val="72"/>
              <w:ind w:firstLine="0" w:firstLineChars="0"/>
            </w:pPr>
            <w:r>
              <w:t>一类</w:t>
            </w:r>
          </w:p>
        </w:tc>
        <w:tc>
          <w:tcPr>
            <w:tcW w:w="2828" w:type="dxa"/>
            <w:tcBorders>
              <w:tl2br w:val="nil"/>
              <w:tr2bl w:val="nil"/>
            </w:tcBorders>
          </w:tcPr>
          <w:p>
            <w:pPr>
              <w:pStyle w:val="72"/>
              <w:ind w:firstLine="0" w:firstLineChars="0"/>
            </w:pPr>
            <w:r>
              <w:t>二类</w:t>
            </w:r>
          </w:p>
        </w:tc>
        <w:tc>
          <w:tcPr>
            <w:tcW w:w="2297" w:type="dxa"/>
            <w:vMerge w:val="continue"/>
            <w:tcBorders>
              <w:tl2br w:val="nil"/>
              <w:tr2bl w:val="nil"/>
            </w:tcBorders>
          </w:tcPr>
          <w:p>
            <w:pPr>
              <w:pStyle w:val="72"/>
              <w:ind w:firstLine="36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60" w:type="dxa"/>
            <w:tcBorders>
              <w:tl2br w:val="nil"/>
              <w:tr2bl w:val="nil"/>
            </w:tcBorders>
            <w:vAlign w:val="center"/>
          </w:tcPr>
          <w:p>
            <w:pPr>
              <w:pStyle w:val="72"/>
              <w:ind w:firstLine="0" w:firstLineChars="0"/>
            </w:pPr>
            <w:r>
              <w:t>住宅建筑</w:t>
            </w:r>
          </w:p>
        </w:tc>
        <w:tc>
          <w:tcPr>
            <w:tcW w:w="2429" w:type="dxa"/>
            <w:tcBorders>
              <w:tl2br w:val="nil"/>
              <w:tr2bl w:val="nil"/>
            </w:tcBorders>
            <w:vAlign w:val="center"/>
          </w:tcPr>
          <w:p>
            <w:pPr>
              <w:pStyle w:val="72"/>
              <w:ind w:firstLine="360"/>
            </w:pPr>
            <w:r>
              <w:t>建筑高度大于 54m的住宅建筑（包括设置商业服务网点的住宅建筑）</w:t>
            </w:r>
          </w:p>
        </w:tc>
        <w:tc>
          <w:tcPr>
            <w:tcW w:w="2828" w:type="dxa"/>
            <w:tcBorders>
              <w:tl2br w:val="nil"/>
              <w:tr2bl w:val="nil"/>
            </w:tcBorders>
            <w:vAlign w:val="center"/>
          </w:tcPr>
          <w:p>
            <w:pPr>
              <w:pStyle w:val="72"/>
              <w:ind w:firstLine="360"/>
            </w:pPr>
            <w:r>
              <w:t>建筑高度大于27m，但不大于 54m的住宅建筑（包括设置商业服务网点的住宅建筑）</w:t>
            </w:r>
          </w:p>
        </w:tc>
        <w:tc>
          <w:tcPr>
            <w:tcW w:w="2297" w:type="dxa"/>
            <w:tcBorders>
              <w:tl2br w:val="nil"/>
              <w:tr2bl w:val="nil"/>
            </w:tcBorders>
            <w:vAlign w:val="center"/>
          </w:tcPr>
          <w:p>
            <w:pPr>
              <w:pStyle w:val="72"/>
              <w:ind w:firstLine="360"/>
              <w:jc w:val="both"/>
            </w:pPr>
            <w:r>
              <w:t>建筑高度不大于27m 的住宅建筑（包括设置商业服务网点的住宅建筑）</w:t>
            </w:r>
          </w:p>
        </w:tc>
      </w:tr>
    </w:tbl>
    <w:p>
      <w:pPr>
        <w:pStyle w:val="4"/>
        <w:keepNext w:val="0"/>
        <w:keepLines w:val="0"/>
        <w:ind w:left="0"/>
      </w:pPr>
      <w:r>
        <w:t>开孔钢板组合剪力墙应按照现行国家标准《建筑钢结构防火技术规范》GB 51249的规定进行抗火性能验算。当钢构件的耐火时间不能达到规定的设计耐火极限要求时，应进行防火保护设计，采取防火保护措施。</w:t>
      </w:r>
    </w:p>
    <w:p>
      <w:pPr>
        <w:pStyle w:val="4"/>
        <w:keepNext w:val="0"/>
        <w:keepLines w:val="0"/>
        <w:ind w:left="0"/>
        <w:rPr>
          <w:rFonts w:hAnsi="Calibri" w:cs="Calibri" w:asciiTheme="minorHAnsi"/>
        </w:rPr>
      </w:pPr>
      <w:r>
        <w:rPr>
          <w:rFonts w:hAnsi="Calibri" w:cs="Calibri" w:asciiTheme="minorHAnsi"/>
        </w:rPr>
        <w:t>装配式开孔钢板组合剪力墙结构住宅可采用下列防火保护措施：</w:t>
      </w:r>
    </w:p>
    <w:p>
      <w:pPr>
        <w:ind w:firstLine="316" w:firstLineChars="150"/>
      </w:pPr>
      <w:r>
        <w:rPr>
          <w:rFonts w:hint="eastAsia"/>
          <w:b/>
          <w:bCs/>
        </w:rPr>
        <w:t xml:space="preserve">1 </w:t>
      </w:r>
      <w:r>
        <w:rPr>
          <w:rFonts w:hint="eastAsia"/>
        </w:rPr>
        <w:t>外包混凝土或砌筑砌体（外包混凝土内应配置构造钢筋）。</w:t>
      </w:r>
    </w:p>
    <w:p>
      <w:pPr>
        <w:ind w:firstLine="316" w:firstLineChars="150"/>
      </w:pPr>
      <w:r>
        <w:rPr>
          <w:rFonts w:hint="eastAsia"/>
          <w:b/>
          <w:bCs/>
        </w:rPr>
        <w:t xml:space="preserve">2 </w:t>
      </w:r>
      <w:r>
        <w:rPr>
          <w:rFonts w:hint="eastAsia"/>
        </w:rPr>
        <w:t>涂敷防火涂料。</w:t>
      </w:r>
    </w:p>
    <w:p>
      <w:pPr>
        <w:ind w:firstLine="316" w:firstLineChars="150"/>
      </w:pPr>
      <w:r>
        <w:rPr>
          <w:rFonts w:hint="eastAsia"/>
          <w:b/>
          <w:bCs/>
        </w:rPr>
        <w:t xml:space="preserve">3 </w:t>
      </w:r>
      <w:r>
        <w:rPr>
          <w:rFonts w:hint="eastAsia"/>
        </w:rPr>
        <w:t>防火板包覆。</w:t>
      </w:r>
    </w:p>
    <w:p>
      <w:pPr>
        <w:ind w:firstLine="316" w:firstLineChars="150"/>
      </w:pPr>
      <w:r>
        <w:rPr>
          <w:rFonts w:hint="eastAsia"/>
          <w:b/>
          <w:bCs/>
        </w:rPr>
        <w:t xml:space="preserve">4 </w:t>
      </w:r>
      <w:r>
        <w:rPr>
          <w:rFonts w:hint="eastAsia"/>
        </w:rPr>
        <w:t>复合防火保护，即在钢结构表面涂敷防火涂料或采用柔性毡状隔热材料包覆，再用轻质防火板作饰面板。</w:t>
      </w:r>
    </w:p>
    <w:p>
      <w:pPr>
        <w:ind w:firstLine="316" w:firstLineChars="150"/>
      </w:pPr>
      <w:r>
        <w:rPr>
          <w:rFonts w:hint="eastAsia"/>
          <w:b/>
          <w:bCs/>
        </w:rPr>
        <w:t xml:space="preserve">5 </w:t>
      </w:r>
      <w:r>
        <w:rPr>
          <w:rFonts w:hint="eastAsia"/>
        </w:rPr>
        <w:t>柔性毡状隔热材料包覆。</w:t>
      </w:r>
    </w:p>
    <w:p>
      <w:pPr>
        <w:pStyle w:val="4"/>
        <w:keepNext w:val="0"/>
        <w:keepLines w:val="0"/>
        <w:ind w:left="0"/>
      </w:pPr>
      <w:r>
        <w:t>装配式开孔钢板组合剪力墙结构住宅的防火保护设计，除本标准有关规定外，尚应符合现行国家</w:t>
      </w:r>
      <w:r>
        <w:rPr>
          <w:rFonts w:hint="eastAsia"/>
        </w:rPr>
        <w:t>及行业</w:t>
      </w:r>
      <w:r>
        <w:t>标准《建筑设计防火规范》GB 50016、《建筑钢结构防火技术规范》GB 51249、《钢结构设计标准》GB 50017、《钢板剪力墙技术规程》JGJ/T 380等的要求。</w:t>
      </w:r>
    </w:p>
    <w:p>
      <w:pPr>
        <w:pStyle w:val="3"/>
        <w:keepNext w:val="0"/>
        <w:keepLines w:val="0"/>
        <w:ind w:firstLine="482"/>
        <w:rPr>
          <w:rFonts w:hAnsi="Calibri" w:cs="Calibri" w:asciiTheme="minorHAnsi"/>
        </w:rPr>
      </w:pPr>
      <w:bookmarkStart w:id="72" w:name="_Toc534197574"/>
      <w:bookmarkStart w:id="73" w:name="_Toc36207173"/>
      <w:bookmarkStart w:id="74" w:name="_Toc8779"/>
      <w:r>
        <w:rPr>
          <w:rFonts w:hAnsi="Calibri" w:cs="Calibri" w:asciiTheme="minorHAnsi"/>
        </w:rPr>
        <w:t>防腐设计</w:t>
      </w:r>
      <w:bookmarkEnd w:id="72"/>
      <w:bookmarkEnd w:id="73"/>
      <w:bookmarkEnd w:id="74"/>
    </w:p>
    <w:p>
      <w:pPr>
        <w:pStyle w:val="4"/>
        <w:keepNext w:val="0"/>
        <w:keepLines w:val="0"/>
        <w:ind w:left="0"/>
        <w:rPr>
          <w:rFonts w:hAnsi="Calibri" w:cs="Calibri" w:asciiTheme="minorHAnsi"/>
        </w:rPr>
      </w:pPr>
      <w:r>
        <w:rPr>
          <w:rFonts w:hAnsi="Calibri" w:cs="Calibri" w:asciiTheme="minorHAnsi"/>
        </w:rPr>
        <w:t>装配式开孔钢板组合剪力墙结构住宅应根据环境条件、材质、结构形式、使用要求、施工条件和维护管理条件等进行防腐蚀设计。</w:t>
      </w:r>
    </w:p>
    <w:p>
      <w:pPr>
        <w:pStyle w:val="4"/>
        <w:keepNext w:val="0"/>
        <w:keepLines w:val="0"/>
        <w:ind w:left="0"/>
        <w:rPr>
          <w:rFonts w:hAnsi="Calibri" w:cs="Calibri" w:asciiTheme="minorHAnsi"/>
        </w:rPr>
      </w:pPr>
      <w:r>
        <w:rPr>
          <w:rFonts w:hAnsi="Calibri" w:cs="Calibri" w:asciiTheme="minorHAnsi"/>
        </w:rPr>
        <w:t>在钢结构设计文件中应明确规定防腐设计使用年限、钢材除锈等级、除锈方法、防腐涂料（或镀层）名称、及涂（或镀）层厚度等要求，并应注明钢结构定期检查和维护要求。</w:t>
      </w:r>
    </w:p>
    <w:p>
      <w:pPr>
        <w:pStyle w:val="4"/>
        <w:keepNext w:val="0"/>
        <w:keepLines w:val="0"/>
        <w:ind w:left="0"/>
        <w:rPr>
          <w:rFonts w:hAnsi="Calibri" w:cs="Calibri" w:asciiTheme="minorHAnsi"/>
        </w:rPr>
      </w:pPr>
      <w:r>
        <w:rPr>
          <w:rFonts w:hAnsi="Calibri" w:cs="Calibri" w:asciiTheme="minorHAnsi"/>
        </w:rPr>
        <w:t>装配式开孔钢板组合剪力墙结构住宅应遵循安全可靠、经济合理的原则，按下列要求进行防腐蚀设计：</w:t>
      </w:r>
    </w:p>
    <w:p>
      <w:pPr>
        <w:ind w:firstLine="316" w:firstLineChars="150"/>
      </w:pPr>
      <w:r>
        <w:rPr>
          <w:rFonts w:hint="eastAsia"/>
          <w:b/>
          <w:bCs/>
        </w:rPr>
        <w:t xml:space="preserve">1 </w:t>
      </w:r>
      <w:r>
        <w:rPr>
          <w:rFonts w:hint="eastAsia"/>
        </w:rPr>
        <w:t>钢结构防腐蚀设计应根据建筑物的重要性、环境腐蚀条件、施工和维修条件等要求合理确定防腐蚀设计年限。</w:t>
      </w:r>
    </w:p>
    <w:p>
      <w:pPr>
        <w:ind w:firstLine="316" w:firstLineChars="150"/>
      </w:pPr>
      <w:r>
        <w:rPr>
          <w:rFonts w:hint="eastAsia"/>
          <w:b/>
          <w:bCs/>
        </w:rPr>
        <w:t xml:space="preserve">2 </w:t>
      </w:r>
      <w:r>
        <w:rPr>
          <w:rFonts w:hint="eastAsia"/>
        </w:rPr>
        <w:t>防腐蚀设计应考虑环保节能的要求。</w:t>
      </w:r>
    </w:p>
    <w:p>
      <w:pPr>
        <w:ind w:firstLine="316" w:firstLineChars="150"/>
      </w:pPr>
      <w:r>
        <w:rPr>
          <w:rFonts w:hint="eastAsia"/>
          <w:b/>
          <w:bCs/>
        </w:rPr>
        <w:t xml:space="preserve">3 </w:t>
      </w:r>
      <w:r>
        <w:rPr>
          <w:rFonts w:hint="eastAsia"/>
        </w:rPr>
        <w:t>钢结构除必须采取防腐蚀措施外，尚应避免加速腐蚀的不良设计。</w:t>
      </w:r>
    </w:p>
    <w:p>
      <w:pPr>
        <w:ind w:firstLine="316" w:firstLineChars="150"/>
      </w:pPr>
      <w:r>
        <w:rPr>
          <w:rFonts w:hint="eastAsia"/>
          <w:b/>
          <w:bCs/>
        </w:rPr>
        <w:t xml:space="preserve">4 </w:t>
      </w:r>
      <w:r>
        <w:rPr>
          <w:rFonts w:hint="eastAsia"/>
        </w:rPr>
        <w:t>防腐蚀设计中应考虑钢结构全寿命期内的检查、维护和大修。</w:t>
      </w:r>
    </w:p>
    <w:p>
      <w:pPr>
        <w:ind w:firstLine="316" w:firstLineChars="150"/>
      </w:pPr>
      <w:r>
        <w:rPr>
          <w:rFonts w:hint="eastAsia"/>
          <w:b/>
          <w:bCs/>
        </w:rPr>
        <w:t xml:space="preserve">5 </w:t>
      </w:r>
      <w:r>
        <w:rPr>
          <w:rFonts w:hint="eastAsia"/>
        </w:rPr>
        <w:t>防腐蚀涂料（油漆）应具有较强金属表面附着力，并与防火涂料相容良好。</w:t>
      </w:r>
    </w:p>
    <w:p>
      <w:pPr>
        <w:pStyle w:val="4"/>
        <w:keepNext w:val="0"/>
        <w:keepLines w:val="0"/>
        <w:ind w:left="0"/>
        <w:rPr>
          <w:rFonts w:hAnsi="Calibri" w:cs="Calibri" w:asciiTheme="minorHAnsi"/>
        </w:rPr>
      </w:pPr>
      <w:r>
        <w:rPr>
          <w:rFonts w:hAnsi="Calibri" w:cs="Calibri" w:asciiTheme="minorHAnsi"/>
        </w:rPr>
        <w:t>装配式开孔钢板组合剪力墙结构住宅防腐蚀设计应综合考虑环境中介质的腐蚀性、环境条件、施工和维修条件等因素，因地制宜，从下列方案中综合选择防腐蚀方案或其组合：</w:t>
      </w:r>
    </w:p>
    <w:p>
      <w:pPr>
        <w:ind w:firstLine="316" w:firstLineChars="150"/>
      </w:pPr>
      <w:r>
        <w:rPr>
          <w:rFonts w:hint="eastAsia"/>
          <w:b/>
          <w:bCs/>
        </w:rPr>
        <w:t xml:space="preserve">1 </w:t>
      </w:r>
      <w:r>
        <w:rPr>
          <w:rFonts w:hint="eastAsia"/>
        </w:rPr>
        <w:t>防腐蚀涂料。</w:t>
      </w:r>
    </w:p>
    <w:p>
      <w:pPr>
        <w:ind w:firstLine="316" w:firstLineChars="150"/>
      </w:pPr>
      <w:r>
        <w:rPr>
          <w:rFonts w:hint="eastAsia"/>
          <w:b/>
          <w:bCs/>
        </w:rPr>
        <w:t xml:space="preserve">2 </w:t>
      </w:r>
      <w:r>
        <w:rPr>
          <w:rFonts w:hint="eastAsia"/>
        </w:rPr>
        <w:t>各种工艺形成的锌、铝等金属保护层。</w:t>
      </w:r>
    </w:p>
    <w:p>
      <w:pPr>
        <w:ind w:firstLine="316" w:firstLineChars="150"/>
      </w:pPr>
      <w:r>
        <w:rPr>
          <w:rFonts w:hint="eastAsia"/>
          <w:b/>
          <w:bCs/>
        </w:rPr>
        <w:t xml:space="preserve">3 </w:t>
      </w:r>
      <w:r>
        <w:rPr>
          <w:rFonts w:hint="eastAsia"/>
        </w:rPr>
        <w:t>阴极保护措施。</w:t>
      </w:r>
    </w:p>
    <w:p>
      <w:pPr>
        <w:ind w:firstLine="316" w:firstLineChars="150"/>
      </w:pPr>
      <w:r>
        <w:rPr>
          <w:rFonts w:hint="eastAsia"/>
          <w:b/>
          <w:bCs/>
        </w:rPr>
        <w:t xml:space="preserve">4 </w:t>
      </w:r>
      <w:r>
        <w:rPr>
          <w:rFonts w:hint="eastAsia"/>
        </w:rPr>
        <w:t>使用耐候钢。</w:t>
      </w:r>
    </w:p>
    <w:p>
      <w:pPr>
        <w:pStyle w:val="74"/>
        <w:widowControl w:val="0"/>
        <w:ind w:firstLine="400"/>
      </w:pPr>
      <w:r>
        <w:t>【条文说明】在住宅的厨房、卫生间的钢结构也可以采用外包混凝土的方法处理。</w:t>
      </w:r>
    </w:p>
    <w:p>
      <w:pPr>
        <w:pStyle w:val="4"/>
        <w:keepNext w:val="0"/>
        <w:keepLines w:val="0"/>
        <w:ind w:left="0"/>
        <w:rPr>
          <w:rFonts w:hAnsi="Calibri" w:cs="Calibri" w:asciiTheme="minorHAnsi"/>
        </w:rPr>
      </w:pPr>
      <w:r>
        <w:rPr>
          <w:rFonts w:hAnsi="Calibri" w:cs="Calibri" w:asciiTheme="minorHAnsi"/>
        </w:rPr>
        <w:t>对危及人身安全和维修困难的部位，以及重要的承重结构和构件应加强防护。当某些次要构件的设计使用年限不能与主体结构的设计使用年限相同时，应设计成便于更换的构件。</w:t>
      </w:r>
    </w:p>
    <w:p>
      <w:pPr>
        <w:pStyle w:val="4"/>
        <w:keepNext w:val="0"/>
        <w:keepLines w:val="0"/>
        <w:ind w:left="0"/>
      </w:pPr>
      <w:r>
        <w:t>装配式开孔钢板组合剪力墙结构住宅应根据现行行业标准《建筑钢结构防腐蚀技术规程》JGJ/T 251的规定确定大气环境对钢结构长期作用下的腐蚀性等级。</w:t>
      </w:r>
    </w:p>
    <w:p>
      <w:pPr>
        <w:pStyle w:val="4"/>
        <w:keepNext w:val="0"/>
        <w:keepLines w:val="0"/>
        <w:ind w:left="0"/>
        <w:rPr>
          <w:rFonts w:hAnsi="Calibri" w:cs="Calibri" w:asciiTheme="minorHAnsi"/>
        </w:rPr>
      </w:pPr>
      <w:r>
        <w:rPr>
          <w:rFonts w:hAnsi="Calibri" w:cs="Calibri" w:asciiTheme="minorHAnsi"/>
        </w:rPr>
        <w:t>装配式开孔钢板组合剪力墙结构住宅防腐蚀设计应符合如下规定：</w:t>
      </w:r>
    </w:p>
    <w:p>
      <w:pPr>
        <w:ind w:firstLine="316" w:firstLineChars="150"/>
      </w:pPr>
      <w:r>
        <w:rPr>
          <w:rFonts w:hint="eastAsia"/>
          <w:b/>
          <w:bCs/>
        </w:rPr>
        <w:t xml:space="preserve">1 </w:t>
      </w:r>
      <w:r>
        <w:rPr>
          <w:rFonts w:hint="eastAsia"/>
        </w:rPr>
        <w:t>不同金属材料接触会加速腐蚀时，应在接触部位采用隔离措施。</w:t>
      </w:r>
    </w:p>
    <w:p>
      <w:pPr>
        <w:ind w:firstLine="316" w:firstLineChars="150"/>
      </w:pPr>
      <w:r>
        <w:rPr>
          <w:rFonts w:hint="eastAsia"/>
          <w:b/>
          <w:bCs/>
        </w:rPr>
        <w:t xml:space="preserve">2 </w:t>
      </w:r>
      <w:r>
        <w:rPr>
          <w:rFonts w:hint="eastAsia"/>
        </w:rPr>
        <w:t>焊条、螺栓、垫圈、节点板等连接构件的耐腐蚀性能，不应低于主体材料。螺栓直径不应小于12mm，垫圈不应采用弹簧垫圈。螺栓、螺母和垫圈应采用镀锌等方法防护，安装后再采用与主体结构相同的防腐蚀方案。</w:t>
      </w:r>
    </w:p>
    <w:p>
      <w:pPr>
        <w:ind w:firstLine="316" w:firstLineChars="150"/>
      </w:pPr>
      <w:r>
        <w:rPr>
          <w:rFonts w:hint="eastAsia"/>
          <w:b/>
          <w:bCs/>
        </w:rPr>
        <w:t xml:space="preserve">3 </w:t>
      </w:r>
      <w:r>
        <w:rPr>
          <w:rFonts w:hint="eastAsia"/>
        </w:rPr>
        <w:t>对不易维修的建筑结构应加强防护。</w:t>
      </w:r>
    </w:p>
    <w:p>
      <w:pPr>
        <w:ind w:firstLine="316" w:firstLineChars="150"/>
      </w:pPr>
      <w:r>
        <w:rPr>
          <w:rFonts w:hint="eastAsia"/>
          <w:b/>
          <w:bCs/>
        </w:rPr>
        <w:t xml:space="preserve">4 </w:t>
      </w:r>
      <w:r>
        <w:t>环境腐蚀性等级大于Ⅳ级且使用期间不能重新涂装的钢结构部位，其结构设计应留有适当的腐蚀裕量。腐蚀裕量应根据现行行业标准《建筑钢结构防腐蚀技术规程》JGJ/T 251确定。</w:t>
      </w:r>
    </w:p>
    <w:p>
      <w:pPr>
        <w:ind w:firstLine="316" w:firstLineChars="150"/>
      </w:pPr>
      <w:r>
        <w:rPr>
          <w:rFonts w:hint="eastAsia"/>
          <w:b/>
          <w:bCs/>
        </w:rPr>
        <w:t xml:space="preserve">5 </w:t>
      </w:r>
      <w:r>
        <w:rPr>
          <w:rFonts w:hint="eastAsia"/>
        </w:rPr>
        <w:t>避免出现难于检查、清理和涂漆之处，以及能积留湿气和大量灰尘的死角或凹槽。闭口截面构件应沿全长和端部焊接封闭。</w:t>
      </w:r>
    </w:p>
    <w:p>
      <w:pPr>
        <w:ind w:firstLine="316" w:firstLineChars="150"/>
      </w:pPr>
      <w:r>
        <w:rPr>
          <w:rFonts w:hint="eastAsia"/>
          <w:b/>
          <w:bCs/>
        </w:rPr>
        <w:t xml:space="preserve">6 </w:t>
      </w:r>
      <w:r>
        <w:rPr>
          <w:rFonts w:hint="eastAsia"/>
        </w:rPr>
        <w:t>高强度螺栓构件连接处接触面的除锈等级，不应低于Sa2½，并宜涂无机富锌涂料；连接处的缝隙，应嵌刮耐腐蚀密封膏。</w:t>
      </w:r>
    </w:p>
    <w:p>
      <w:pPr>
        <w:ind w:firstLine="316" w:firstLineChars="150"/>
      </w:pPr>
      <w:r>
        <w:rPr>
          <w:rFonts w:hint="eastAsia"/>
          <w:b/>
          <w:bCs/>
        </w:rPr>
        <w:t xml:space="preserve">7 </w:t>
      </w:r>
      <w:r>
        <w:rPr>
          <w:rFonts w:hint="eastAsia"/>
        </w:rPr>
        <w:t>钢板表面原始锈蚀等级和除锈等级应符合现行国家标准《涂覆涂料前钢材表面处理 表面清洁度的目视评定》GB/T 8923的规定。除锈前应将钢板表面的焊渣、毛刺、块锈、油污等清除干净。表面采用喷射或抛射除锈，除锈等级不应低于Sa2½级。局部难以进行喷射或抛射除锈时，可采用手动或动力工具除锈，除锈等级应达到St3级。</w:t>
      </w:r>
    </w:p>
    <w:p>
      <w:pPr>
        <w:ind w:firstLine="316" w:firstLineChars="150"/>
      </w:pPr>
      <w:r>
        <w:rPr>
          <w:rFonts w:hint="eastAsia"/>
          <w:b/>
          <w:bCs/>
        </w:rPr>
        <w:t xml:space="preserve">8 </w:t>
      </w:r>
      <w:r>
        <w:rPr>
          <w:rFonts w:hint="eastAsia"/>
        </w:rPr>
        <w:t>柱脚在地面以下的部分应采用强度等级较低的混凝土包裹（保护层厚度不应小于50mm），包裹的混凝土高出室外地面不小于150mm，室内地面不宜小于50mm，并宜采取措施防止水分残留。当柱脚底面在地面以上时，柱脚底面高出室外地面不应小于100mm，室内地面不宜小于50mm。</w:t>
      </w:r>
    </w:p>
    <w:p>
      <w:pPr>
        <w:pStyle w:val="4"/>
        <w:keepNext w:val="0"/>
        <w:keepLines w:val="0"/>
        <w:ind w:left="0"/>
      </w:pPr>
      <w:r>
        <w:t>装配式开孔钢板组合剪力墙结构住宅钢材在涂装之前应进行表面处理。钢材表面原始锈蚀等级和钢材表面除锈等级标准应符合现行国家和行业标准《涂覆涂料前钢材表面处理表面清洁度的目视评定》GB/T 8923和《建筑钢结构防腐蚀技术规程》JGJ/T 251的规定。</w:t>
      </w:r>
    </w:p>
    <w:p>
      <w:pPr>
        <w:ind w:firstLine="316" w:firstLineChars="150"/>
      </w:pPr>
      <w:r>
        <w:rPr>
          <w:rFonts w:hint="eastAsia"/>
          <w:b/>
          <w:bCs/>
        </w:rPr>
        <w:t xml:space="preserve">1 </w:t>
      </w:r>
      <w:r>
        <w:rPr>
          <w:rFonts w:hint="eastAsia"/>
        </w:rPr>
        <w:t>表面原始锈蚀等级为B级的钢材不应用作结构钢。</w:t>
      </w:r>
    </w:p>
    <w:p>
      <w:pPr>
        <w:ind w:firstLine="316" w:firstLineChars="150"/>
      </w:pPr>
      <w:r>
        <w:rPr>
          <w:rFonts w:hint="eastAsia"/>
          <w:b/>
          <w:bCs/>
        </w:rPr>
        <w:t xml:space="preserve">2 </w:t>
      </w:r>
      <w:r>
        <w:rPr>
          <w:rFonts w:hint="eastAsia"/>
        </w:rPr>
        <w:t>喷砂或抛丸用的磨料等表面处理材料应符合防腐蚀产品对表面清洁度和粗糙度的要求，并符合环保要求。</w:t>
      </w:r>
    </w:p>
    <w:p>
      <w:pPr>
        <w:pStyle w:val="4"/>
        <w:keepNext w:val="0"/>
        <w:keepLines w:val="0"/>
        <w:ind w:left="0"/>
      </w:pPr>
      <w:r>
        <w:t>装配式开孔钢板组合剪力墙结构住宅钢材表面除锈等级与涂料的匹配以及常用涂层的配套，应按现行行业标准《建筑钢结构防腐蚀技术规程》JGJ/T 251的规定选用。</w:t>
      </w:r>
    </w:p>
    <w:p>
      <w:pPr>
        <w:pStyle w:val="4"/>
        <w:keepNext w:val="0"/>
        <w:keepLines w:val="0"/>
        <w:ind w:left="0"/>
        <w:rPr>
          <w:rFonts w:hAnsi="Calibri" w:cs="Calibri" w:asciiTheme="minorHAnsi"/>
        </w:rPr>
      </w:pPr>
      <w:r>
        <w:rPr>
          <w:rFonts w:hAnsi="Calibri" w:cs="Calibri" w:asciiTheme="minorHAnsi"/>
        </w:rPr>
        <w:t>围护结构的设计构造应防止结露，室内湿度较大的部位（如厨房、卫生间等）不应有外露钢结构；当不可避免时，宜外包混凝土隔护。</w:t>
      </w:r>
    </w:p>
    <w:p>
      <w:pPr>
        <w:pStyle w:val="4"/>
        <w:keepNext w:val="0"/>
        <w:keepLines w:val="0"/>
        <w:ind w:left="0"/>
      </w:pPr>
      <w:r>
        <w:t>装配式开孔钢板组合剪力墙结构住宅钢材的防腐保护，除本规定有关规定外，尚应符合现行国家、行业与协会标准《钢结构设计标准》GB 50017、《冷弯薄壁型钢结构技术规范》GB 50018、《轻型钢结构住宅技术规程》JGJ 209、《低层冷弯薄壁型钢房屋建筑技术规程》JGJ 227、《建筑钢结构防腐蚀技术规程》JGJ/T 251、《钢板剪力墙技术规程》JGJ/T 380、《钢结构住宅设计规范》CECS 261等的要求。</w:t>
      </w:r>
    </w:p>
    <w:p>
      <w:pPr>
        <w:widowControl/>
        <w:spacing w:line="240" w:lineRule="auto"/>
        <w:rPr>
          <w:rFonts w:hAnsi="Calibri" w:cs="Calibri" w:asciiTheme="minorHAnsi"/>
          <w:szCs w:val="22"/>
        </w:rPr>
      </w:pPr>
      <w:r>
        <w:rPr>
          <w:rFonts w:hAnsi="Calibri" w:cs="Calibri" w:asciiTheme="minorHAnsi"/>
        </w:rPr>
        <w:br w:type="page"/>
      </w:r>
    </w:p>
    <w:p>
      <w:pPr>
        <w:pStyle w:val="2"/>
        <w:spacing w:before="156" w:after="156"/>
        <w:ind w:firstLine="643"/>
        <w:rPr>
          <w:rFonts w:hAnsi="Calibri" w:cs="Calibri" w:asciiTheme="minorHAnsi"/>
        </w:rPr>
      </w:pPr>
      <w:bookmarkStart w:id="75" w:name="_Toc19807"/>
      <w:r>
        <w:rPr>
          <w:rFonts w:hAnsi="Calibri" w:cs="Calibri" w:asciiTheme="minorHAnsi"/>
        </w:rPr>
        <w:t>部品部件制作与运输</w:t>
      </w:r>
      <w:bookmarkEnd w:id="75"/>
    </w:p>
    <w:p>
      <w:pPr>
        <w:pStyle w:val="3"/>
        <w:keepNext w:val="0"/>
        <w:keepLines w:val="0"/>
        <w:spacing w:before="120" w:after="120"/>
        <w:ind w:firstLine="482"/>
        <w:rPr>
          <w:rFonts w:hAnsi="Calibri" w:cs="Calibri" w:asciiTheme="minorHAnsi"/>
        </w:rPr>
      </w:pPr>
      <w:bookmarkStart w:id="76" w:name="_Toc23336"/>
      <w:r>
        <w:fldChar w:fldCharType="begin"/>
      </w:r>
      <w:r>
        <w:instrText xml:space="preserve"> HYPERLINK \l "_Toc518552840"</w:instrText>
      </w:r>
      <w:r>
        <w:fldChar w:fldCharType="separate"/>
      </w:r>
      <w:bookmarkStart w:id="77" w:name="_Toc36207175"/>
      <w:r>
        <w:rPr>
          <w:rFonts w:hAnsi="Calibri" w:cs="Calibri" w:asciiTheme="minorHAnsi"/>
        </w:rPr>
        <w:t>一般规定</w:t>
      </w:r>
      <w:bookmarkEnd w:id="77"/>
      <w:r>
        <w:rPr>
          <w:rFonts w:hAnsi="Calibri" w:cs="Calibri" w:asciiTheme="minorHAnsi"/>
        </w:rPr>
        <w:fldChar w:fldCharType="end"/>
      </w:r>
      <w:bookmarkEnd w:id="76"/>
    </w:p>
    <w:p>
      <w:pPr>
        <w:pStyle w:val="4"/>
        <w:keepNext w:val="0"/>
        <w:keepLines w:val="0"/>
        <w:ind w:left="0"/>
        <w:rPr>
          <w:rFonts w:hAnsi="Calibri" w:cs="Calibri" w:asciiTheme="minorHAnsi"/>
        </w:rPr>
      </w:pPr>
      <w:r>
        <w:rPr>
          <w:rFonts w:hAnsi="Calibri" w:cs="Calibri" w:asciiTheme="minorHAnsi"/>
        </w:rPr>
        <w:t>建筑部品部件生产厂家应有固定的生产车间和生产线设备，应有深化设计、制造、运输能力，应建立技术标准体系及安全、质量、环境管理体系。</w:t>
      </w:r>
    </w:p>
    <w:p>
      <w:pPr>
        <w:pStyle w:val="74"/>
        <w:widowControl w:val="0"/>
        <w:ind w:firstLine="400"/>
      </w:pPr>
      <w:r>
        <w:t>【条文说明】规定了建筑部品部件生产企业的基本要求。从企业有固定的车间、技术生产能力等方面进行了规定，也规定了安全、质量和环境管理体系的要求。</w:t>
      </w:r>
    </w:p>
    <w:p>
      <w:pPr>
        <w:pStyle w:val="4"/>
        <w:keepNext w:val="0"/>
        <w:keepLines w:val="0"/>
        <w:ind w:left="0"/>
        <w:rPr>
          <w:rFonts w:hAnsi="Calibri" w:cs="Calibri" w:asciiTheme="minorHAnsi"/>
        </w:rPr>
      </w:pPr>
      <w:r>
        <w:rPr>
          <w:rFonts w:hAnsi="Calibri" w:cs="Calibri" w:asciiTheme="minorHAnsi"/>
        </w:rPr>
        <w:t>建筑部品部件应在工厂车间生产，生产过程及管理宜应用信息管理技术，生产工序宜形成流水作业，生产厂家应对提供构件进行标示。</w:t>
      </w:r>
    </w:p>
    <w:p>
      <w:pPr>
        <w:pStyle w:val="74"/>
        <w:widowControl w:val="0"/>
        <w:ind w:firstLine="400"/>
      </w:pPr>
      <w:r>
        <w:t>【条文说明】从机械化生产的角度，提出对建筑部品部件实行生产线作业和信息化管理的要求，以保证产品加工质量稳定。</w:t>
      </w:r>
    </w:p>
    <w:p>
      <w:pPr>
        <w:pStyle w:val="4"/>
        <w:keepNext w:val="0"/>
        <w:keepLines w:val="0"/>
        <w:ind w:left="0"/>
        <w:rPr>
          <w:rFonts w:hAnsi="Calibri" w:cs="Calibri" w:asciiTheme="minorHAnsi"/>
        </w:rPr>
      </w:pPr>
      <w:r>
        <w:rPr>
          <w:rFonts w:hAnsi="Calibri" w:cs="Calibri" w:asciiTheme="minorHAnsi"/>
        </w:rPr>
        <w:t>部品部件生产、安装、验收使用的量具应经过统一计量标准标定，并应具有统一精度等级。</w:t>
      </w:r>
    </w:p>
    <w:p>
      <w:pPr>
        <w:pStyle w:val="4"/>
        <w:keepNext w:val="0"/>
        <w:keepLines w:val="0"/>
        <w:ind w:left="0"/>
      </w:pPr>
      <w:r>
        <w:t>钢构件加工制作工艺和质量应符合现行国家标准《钢结构工程施工规范》GB 50755和《钢结构工程施工质量验收规范》GB 50205的规定。</w:t>
      </w:r>
    </w:p>
    <w:p>
      <w:pPr>
        <w:pStyle w:val="4"/>
        <w:keepNext w:val="0"/>
        <w:keepLines w:val="0"/>
        <w:spacing w:line="300" w:lineRule="auto"/>
        <w:ind w:left="0"/>
      </w:pPr>
      <w:r>
        <w:t>外围护部品和内装部品应采用节能环保的材料，材料应符合现行国家标准《民用建筑工程室内环境污染控制标准》GB 50325、《建筑材料放射性核素限量》GB 6566的规定。</w:t>
      </w:r>
    </w:p>
    <w:p>
      <w:pPr>
        <w:pStyle w:val="3"/>
        <w:keepNext w:val="0"/>
        <w:keepLines w:val="0"/>
        <w:spacing w:before="120" w:after="120"/>
        <w:ind w:firstLine="482"/>
        <w:rPr>
          <w:rFonts w:hAnsi="Calibri" w:cs="Calibri" w:asciiTheme="minorHAnsi"/>
        </w:rPr>
      </w:pPr>
      <w:bookmarkStart w:id="78" w:name="_Toc27377"/>
      <w:r>
        <w:fldChar w:fldCharType="begin"/>
      </w:r>
      <w:r>
        <w:instrText xml:space="preserve"> HYPERLINK \l "_Toc518552840"</w:instrText>
      </w:r>
      <w:r>
        <w:fldChar w:fldCharType="separate"/>
      </w:r>
      <w:bookmarkStart w:id="79" w:name="_Toc36207176"/>
      <w:r>
        <w:rPr>
          <w:rFonts w:hAnsi="Calibri" w:cs="Calibri" w:asciiTheme="minorHAnsi"/>
        </w:rPr>
        <w:t>制作准备</w:t>
      </w:r>
      <w:bookmarkEnd w:id="79"/>
      <w:r>
        <w:rPr>
          <w:rFonts w:hAnsi="Calibri" w:cs="Calibri" w:asciiTheme="minorHAnsi"/>
        </w:rPr>
        <w:fldChar w:fldCharType="end"/>
      </w:r>
      <w:bookmarkEnd w:id="78"/>
    </w:p>
    <w:p>
      <w:pPr>
        <w:pStyle w:val="4"/>
        <w:keepNext w:val="0"/>
        <w:keepLines w:val="0"/>
        <w:ind w:left="0"/>
        <w:rPr>
          <w:rFonts w:hAnsi="Calibri" w:cs="Calibri" w:asciiTheme="minorHAnsi"/>
        </w:rPr>
      </w:pPr>
      <w:r>
        <w:rPr>
          <w:rFonts w:hAnsi="Calibri" w:cs="Calibri" w:asciiTheme="minorHAnsi"/>
        </w:rPr>
        <w:t>建筑部品部件生产前，应根据设计要求和生产条件编制生产工艺方案，对构造复杂的部品或构件宜进行工艺性试验。</w:t>
      </w:r>
    </w:p>
    <w:p>
      <w:pPr>
        <w:pStyle w:val="74"/>
        <w:widowControl w:val="0"/>
        <w:ind w:firstLine="400"/>
      </w:pPr>
      <w:r>
        <w:t>【条文说明】对工艺方案进行规范管理规定。</w:t>
      </w:r>
    </w:p>
    <w:p>
      <w:pPr>
        <w:pStyle w:val="4"/>
        <w:keepNext w:val="0"/>
        <w:keepLines w:val="0"/>
        <w:ind w:left="0"/>
        <w:rPr>
          <w:rFonts w:hAnsi="Calibri" w:cs="Calibri" w:asciiTheme="minorHAnsi"/>
        </w:rPr>
      </w:pPr>
      <w:r>
        <w:rPr>
          <w:rFonts w:hAnsi="Calibri" w:cs="Calibri" w:asciiTheme="minorHAnsi"/>
        </w:rPr>
        <w:t>影响结构安全的部品部件生产前，应有经原设计单位确认的深化设计图或产品设计图，设计深度应满足生产、运输和安装等技术要求。</w:t>
      </w:r>
    </w:p>
    <w:p>
      <w:pPr>
        <w:pStyle w:val="74"/>
        <w:widowControl w:val="0"/>
        <w:ind w:firstLine="400"/>
      </w:pPr>
      <w:r>
        <w:t>【条文说明】影响结构安全的部品部件主要指开孔钢板组合剪力墙，开孔钢板组合梁，开孔钢板组合墙、梁节点，开孔钢板组合梁、梁节点等结构件。</w:t>
      </w:r>
    </w:p>
    <w:p>
      <w:pPr>
        <w:pStyle w:val="4"/>
        <w:keepNext w:val="0"/>
        <w:keepLines w:val="0"/>
        <w:ind w:left="0"/>
        <w:rPr>
          <w:rFonts w:hAnsi="Calibri" w:cs="Calibri" w:asciiTheme="minorHAnsi"/>
        </w:rPr>
      </w:pPr>
      <w:r>
        <w:rPr>
          <w:rFonts w:hAnsi="Calibri" w:cs="Calibri" w:asciiTheme="minorHAnsi"/>
        </w:rPr>
        <w:t>钢构件和装配式楼板深化设计图应根据设计图和其他有关技术文件进行编制，其内容包括设计说明、构件清单、布置图、加工详图、安装节点详图等。</w:t>
      </w:r>
    </w:p>
    <w:p>
      <w:pPr>
        <w:pStyle w:val="74"/>
        <w:widowControl w:val="0"/>
        <w:ind w:firstLine="400"/>
      </w:pPr>
      <w:r>
        <w:t>【条文说明】钢构件和装配式楼板深化设计图应根据设计图、施工方案、运输方案、加工制作工艺等技术文件进行编制。深化设计图基于施工图，服务于加工制作和现场施工，其作为制作、安装及质量验收的主要技术文件，应满足制作及施工工艺要求，应对制作及施工关键需求做对应深度的深化表达。</w:t>
      </w:r>
    </w:p>
    <w:p>
      <w:pPr>
        <w:pStyle w:val="4"/>
        <w:keepNext w:val="0"/>
        <w:keepLines w:val="0"/>
        <w:ind w:left="0"/>
      </w:pPr>
      <w:r>
        <w:t>外墙板制作前应进行排板布置设计，布板板型中的前三类规格的数量应超过同类板型60%以上；当采用外挂大墙板时，板单元应以单门或单窗为中心、以其开间为宽度、以建筑层高为高度。</w:t>
      </w:r>
    </w:p>
    <w:p>
      <w:pPr>
        <w:pStyle w:val="3"/>
        <w:keepNext w:val="0"/>
        <w:keepLines w:val="0"/>
        <w:spacing w:before="120" w:after="120"/>
        <w:ind w:firstLine="482"/>
        <w:rPr>
          <w:rFonts w:hAnsi="Calibri" w:cs="Calibri" w:asciiTheme="minorHAnsi"/>
        </w:rPr>
      </w:pPr>
      <w:bookmarkStart w:id="80" w:name="_Toc7578"/>
      <w:r>
        <w:fldChar w:fldCharType="begin"/>
      </w:r>
      <w:r>
        <w:instrText xml:space="preserve"> HYPERLINK \l "_Toc518552840"</w:instrText>
      </w:r>
      <w:r>
        <w:fldChar w:fldCharType="separate"/>
      </w:r>
      <w:bookmarkStart w:id="81" w:name="_Toc36207177"/>
      <w:r>
        <w:rPr>
          <w:rFonts w:hAnsi="Calibri" w:cs="Calibri" w:asciiTheme="minorHAnsi"/>
        </w:rPr>
        <w:t>构件制作</w:t>
      </w:r>
      <w:bookmarkEnd w:id="81"/>
      <w:r>
        <w:rPr>
          <w:rFonts w:hAnsi="Calibri" w:cs="Calibri" w:asciiTheme="minorHAnsi"/>
        </w:rPr>
        <w:fldChar w:fldCharType="end"/>
      </w:r>
      <w:bookmarkEnd w:id="80"/>
    </w:p>
    <w:p>
      <w:pPr>
        <w:pStyle w:val="4"/>
        <w:keepNext w:val="0"/>
        <w:keepLines w:val="0"/>
        <w:ind w:left="0"/>
        <w:rPr>
          <w:rFonts w:hAnsi="Calibri" w:cs="Calibri" w:asciiTheme="minorHAnsi"/>
        </w:rPr>
      </w:pPr>
      <w:r>
        <w:rPr>
          <w:rFonts w:hAnsi="Calibri" w:cs="Calibri" w:asciiTheme="minorHAnsi"/>
        </w:rPr>
        <w:t>钢构件宜采用自动化生产线进行加工制作，应尽量减少手工作业。</w:t>
      </w:r>
    </w:p>
    <w:p>
      <w:pPr>
        <w:pStyle w:val="4"/>
        <w:keepNext w:val="0"/>
        <w:keepLines w:val="0"/>
        <w:ind w:left="0"/>
        <w:rPr>
          <w:rFonts w:hAnsi="Calibri" w:cs="Calibri" w:asciiTheme="minorHAnsi"/>
        </w:rPr>
      </w:pPr>
      <w:r>
        <w:rPr>
          <w:rFonts w:hAnsi="Calibri" w:cs="Calibri" w:asciiTheme="minorHAnsi"/>
        </w:rPr>
        <w:t>钢构件与墙板、内装部品的连接件宜在工厂与钢构件一起加工制作。</w:t>
      </w:r>
    </w:p>
    <w:p>
      <w:pPr>
        <w:pStyle w:val="4"/>
        <w:keepNext w:val="0"/>
        <w:keepLines w:val="0"/>
        <w:ind w:left="0"/>
      </w:pPr>
      <w:r>
        <w:t>开孔钢板组合剪力墙钢板上开孔宜采用激光、等离子切割、数控钻制孔，制孔质量应符合现行国家标准《钢结构工程施工质量验收规范》GB 50205的规定。</w:t>
      </w:r>
    </w:p>
    <w:p>
      <w:pPr>
        <w:pStyle w:val="4"/>
        <w:keepNext w:val="0"/>
        <w:keepLines w:val="0"/>
        <w:ind w:left="0"/>
        <w:rPr>
          <w:rFonts w:hAnsi="Calibri" w:cs="Calibri" w:asciiTheme="minorHAnsi"/>
        </w:rPr>
      </w:pPr>
      <w:r>
        <w:rPr>
          <w:rFonts w:hAnsi="Calibri" w:cs="Calibri" w:asciiTheme="minorHAnsi"/>
        </w:rPr>
        <w:t>开孔钢板组合剪力墙焊接，宜采用焊接变形和收缩量小且焊接残余应力低的焊接工艺。</w:t>
      </w:r>
    </w:p>
    <w:p>
      <w:pPr>
        <w:pStyle w:val="4"/>
        <w:keepNext w:val="0"/>
        <w:keepLines w:val="0"/>
        <w:ind w:left="0"/>
        <w:rPr>
          <w:rFonts w:hAnsi="Calibri" w:cs="Calibri" w:asciiTheme="minorHAnsi"/>
        </w:rPr>
      </w:pPr>
      <w:r>
        <w:rPr>
          <w:rFonts w:hAnsi="Calibri" w:cs="Calibri" w:asciiTheme="minorHAnsi"/>
        </w:rPr>
        <w:t>复杂构件、节点宜在出厂前进行预拼装，预拼装可采用实体预拼装或数字模拟预拼装。</w:t>
      </w:r>
    </w:p>
    <w:p>
      <w:pPr>
        <w:pStyle w:val="74"/>
        <w:widowControl w:val="0"/>
        <w:ind w:firstLine="400"/>
      </w:pPr>
      <w:r>
        <w:t>【条文说明】很多构件受到运输或吊装等条件的限制，只能分段分体制作或安装，为了检验其制作的整体性和准确性、保证现场安装定位，按设计文件、施工方案等要求在出厂前进行工厂内预拼装，或在施工现场进行预拼装。数字模拟预拼装方法，具有预拼装速度快、精度高、节能环保、经济实用等优点，但当采用数字模拟预拼装方法时，要求预拼装的所有单个构件均有一定的质量保证；模拟拼装构件或单元外形尺寸均应严格测量，测量时可采用全站仪、计算机和相关软件配合进行。当采用数字模拟预拼装的偏差超过现行国家标准《钢结构工程施工质量验收规范》GB 50205的有关规定时，应进行实体预拼装。</w:t>
      </w:r>
    </w:p>
    <w:p>
      <w:pPr>
        <w:pStyle w:val="4"/>
        <w:keepNext w:val="0"/>
        <w:keepLines w:val="0"/>
        <w:ind w:left="0"/>
        <w:rPr>
          <w:rFonts w:hAnsi="Calibri" w:cs="Calibri" w:asciiTheme="minorHAnsi"/>
          <w:kern w:val="0"/>
          <w:sz w:val="24"/>
          <w:szCs w:val="24"/>
        </w:rPr>
      </w:pPr>
      <w:r>
        <w:rPr>
          <w:rFonts w:hAnsi="Calibri" w:cs="Calibri" w:asciiTheme="minorHAnsi"/>
          <w:kern w:val="0"/>
        </w:rPr>
        <w:t>开孔钢板组合剪力墙单元组成部件宜分别组装、焊接，经检验合格后，再进行单元总装焊接。</w:t>
      </w:r>
    </w:p>
    <w:p>
      <w:pPr>
        <w:pStyle w:val="4"/>
        <w:keepNext w:val="0"/>
        <w:keepLines w:val="0"/>
        <w:ind w:left="0"/>
        <w:rPr>
          <w:rFonts w:hAnsi="Calibri" w:cs="Calibri" w:asciiTheme="minorHAnsi"/>
          <w:kern w:val="0"/>
        </w:rPr>
      </w:pPr>
      <w:r>
        <w:rPr>
          <w:rFonts w:hAnsi="Calibri" w:cs="Calibri" w:asciiTheme="minorHAnsi"/>
          <w:kern w:val="0"/>
        </w:rPr>
        <w:t>开孔钢板组合剪力墙的钢构件现场焊接应符合下列规定：</w:t>
      </w:r>
    </w:p>
    <w:p>
      <w:pPr>
        <w:ind w:firstLine="316" w:firstLineChars="150"/>
      </w:pPr>
      <w:r>
        <w:rPr>
          <w:rFonts w:hint="eastAsia"/>
          <w:b/>
          <w:bCs/>
        </w:rPr>
        <w:t xml:space="preserve">1 </w:t>
      </w:r>
      <w:r>
        <w:rPr>
          <w:rFonts w:hint="eastAsia"/>
        </w:rPr>
        <w:t>整体焊接时，竖向应自下而上焊接，平面上应以中心单元为基点，向两侧逐块焊接。</w:t>
      </w:r>
    </w:p>
    <w:p>
      <w:pPr>
        <w:ind w:firstLine="316" w:firstLineChars="150"/>
      </w:pPr>
      <w:r>
        <w:rPr>
          <w:rFonts w:hint="eastAsia"/>
          <w:b/>
          <w:bCs/>
        </w:rPr>
        <w:t xml:space="preserve">2 </w:t>
      </w:r>
      <w:r>
        <w:rPr>
          <w:rFonts w:hint="eastAsia"/>
        </w:rPr>
        <w:t>钢板厚度大于30mm时，宜采用双面坡口焊缝，且横焊缝宜采用 K 形坡口焊缝，立焊缝宜采用带内衬板的V形焊缝。</w:t>
      </w:r>
    </w:p>
    <w:p>
      <w:pPr>
        <w:pStyle w:val="4"/>
        <w:keepNext w:val="0"/>
        <w:keepLines w:val="0"/>
        <w:ind w:left="0"/>
        <w:rPr>
          <w:rFonts w:hAnsi="Calibri" w:cs="Calibri" w:asciiTheme="minorHAnsi"/>
        </w:rPr>
      </w:pPr>
      <w:r>
        <w:rPr>
          <w:rFonts w:hAnsi="Calibri" w:cs="Calibri" w:asciiTheme="minorHAnsi"/>
        </w:rPr>
        <w:t>预制楼板生产应符合下列规定：</w:t>
      </w:r>
    </w:p>
    <w:p>
      <w:pPr>
        <w:ind w:firstLine="316" w:firstLineChars="150"/>
      </w:pPr>
      <w:r>
        <w:rPr>
          <w:rFonts w:hint="eastAsia"/>
          <w:b/>
          <w:bCs/>
        </w:rPr>
        <w:t xml:space="preserve">1 </w:t>
      </w:r>
      <w:r>
        <w:rPr>
          <w:rFonts w:hint="eastAsia"/>
        </w:rPr>
        <w:t>钢筋桁架楼承板应采用专用设备加工。</w:t>
      </w:r>
    </w:p>
    <w:p>
      <w:pPr>
        <w:ind w:firstLine="316" w:firstLineChars="150"/>
      </w:pPr>
      <w:r>
        <w:rPr>
          <w:rFonts w:hint="eastAsia"/>
          <w:b/>
          <w:bCs/>
        </w:rPr>
        <w:t xml:space="preserve">2 </w:t>
      </w:r>
      <w:r>
        <w:rPr>
          <w:rFonts w:hint="eastAsia"/>
        </w:rPr>
        <w:t>钢筋混凝土预制楼板加工应符合现行行业标准《装配式混凝土结构技术规程》JGJ 1的规定。</w:t>
      </w:r>
    </w:p>
    <w:p>
      <w:pPr>
        <w:ind w:firstLine="316" w:firstLineChars="150"/>
      </w:pPr>
      <w:r>
        <w:rPr>
          <w:rFonts w:hint="eastAsia"/>
          <w:b/>
          <w:bCs/>
        </w:rPr>
        <w:t xml:space="preserve">3 </w:t>
      </w:r>
      <w:r>
        <w:rPr>
          <w:rFonts w:hint="eastAsia"/>
        </w:rPr>
        <w:t>金属骨架组合楼板系统中的金属骨架、专用楼层板、配件、辅材等宜采用标准化部品，并符合相关的产品标准和技术规程要求。</w:t>
      </w:r>
    </w:p>
    <w:p>
      <w:pPr>
        <w:pStyle w:val="4"/>
        <w:keepNext w:val="0"/>
        <w:keepLines w:val="0"/>
        <w:spacing w:line="300" w:lineRule="auto"/>
        <w:ind w:left="0"/>
        <w:rPr>
          <w:rFonts w:hAnsi="Calibri" w:cs="Calibri" w:asciiTheme="minorHAnsi"/>
        </w:rPr>
      </w:pPr>
      <w:r>
        <w:rPr>
          <w:rFonts w:hAnsi="Calibri" w:cs="Calibri" w:asciiTheme="minorHAnsi"/>
        </w:rPr>
        <w:t>预制外墙部品生产时，应符合下列规定。</w:t>
      </w:r>
    </w:p>
    <w:p>
      <w:pPr>
        <w:ind w:firstLine="316" w:firstLineChars="150"/>
      </w:pPr>
      <w:r>
        <w:rPr>
          <w:rFonts w:hint="eastAsia"/>
          <w:b/>
          <w:bCs/>
        </w:rPr>
        <w:t xml:space="preserve">1 </w:t>
      </w:r>
      <w:r>
        <w:rPr>
          <w:rFonts w:hint="eastAsia"/>
        </w:rPr>
        <w:t>外门窗的预埋件设置应在工厂完成。</w:t>
      </w:r>
    </w:p>
    <w:p>
      <w:pPr>
        <w:ind w:firstLine="316" w:firstLineChars="150"/>
      </w:pPr>
      <w:r>
        <w:rPr>
          <w:rFonts w:hint="eastAsia"/>
          <w:b/>
          <w:bCs/>
        </w:rPr>
        <w:t xml:space="preserve">2 </w:t>
      </w:r>
      <w:r>
        <w:rPr>
          <w:rFonts w:hint="eastAsia"/>
        </w:rPr>
        <w:t>不同金属的接触面应避免电化学腐蚀。</w:t>
      </w:r>
    </w:p>
    <w:p>
      <w:pPr>
        <w:ind w:firstLine="316" w:firstLineChars="150"/>
      </w:pPr>
      <w:r>
        <w:rPr>
          <w:rFonts w:hint="eastAsia"/>
          <w:b/>
          <w:bCs/>
        </w:rPr>
        <w:t xml:space="preserve">3 </w:t>
      </w:r>
      <w:r>
        <w:rPr>
          <w:rFonts w:hint="eastAsia"/>
        </w:rPr>
        <w:t>蒸压加气混凝土板的生产应符合现行国家及行业标准《蒸压加气混凝土板》GB/T 15762及《蒸压加气混凝土制品应用技术标准》JGJ/T 17的规定。</w:t>
      </w:r>
    </w:p>
    <w:p>
      <w:pPr>
        <w:ind w:firstLine="316" w:firstLineChars="150"/>
      </w:pPr>
      <w:r>
        <w:rPr>
          <w:rFonts w:hint="eastAsia"/>
          <w:b/>
          <w:bCs/>
        </w:rPr>
        <w:t xml:space="preserve">4 </w:t>
      </w:r>
      <w:r>
        <w:rPr>
          <w:rFonts w:hint="eastAsia"/>
        </w:rPr>
        <w:t>预制混凝土外墙板的生产应符合现行行业标准《装配式混凝土结构技术规程》JGJ 1的规定；</w:t>
      </w:r>
    </w:p>
    <w:p>
      <w:pPr>
        <w:ind w:firstLine="316" w:firstLineChars="150"/>
      </w:pPr>
      <w:r>
        <w:rPr>
          <w:rFonts w:hint="eastAsia"/>
          <w:b/>
          <w:bCs/>
        </w:rPr>
        <w:t xml:space="preserve">5 </w:t>
      </w:r>
      <w:r>
        <w:rPr>
          <w:rFonts w:hint="eastAsia"/>
        </w:rPr>
        <w:t>复合夹心条板的生产应符合现行行业标准《建筑隔墙用轻质条板通用技术要求》JG/T 169的规定。</w:t>
      </w:r>
    </w:p>
    <w:p>
      <w:pPr>
        <w:pStyle w:val="4"/>
        <w:keepNext w:val="0"/>
        <w:keepLines w:val="0"/>
        <w:spacing w:line="300" w:lineRule="auto"/>
        <w:ind w:left="0"/>
        <w:rPr>
          <w:rFonts w:hAnsi="Calibri" w:cs="Calibri" w:asciiTheme="minorHAnsi"/>
        </w:rPr>
      </w:pPr>
      <w:r>
        <w:rPr>
          <w:rFonts w:hAnsi="Calibri" w:cs="Calibri" w:asciiTheme="minorHAnsi"/>
        </w:rPr>
        <w:t>现场组装骨架外墙的骨架、基层墙板、填充材料应在工厂完成生产。</w:t>
      </w:r>
    </w:p>
    <w:p>
      <w:pPr>
        <w:pStyle w:val="4"/>
        <w:keepNext w:val="0"/>
        <w:keepLines w:val="0"/>
        <w:spacing w:line="300" w:lineRule="auto"/>
        <w:ind w:left="0"/>
      </w:pPr>
      <w:r>
        <w:t>建筑幕墙的加工制作应符合现行</w:t>
      </w:r>
      <w:r>
        <w:rPr>
          <w:rFonts w:hint="eastAsia"/>
        </w:rPr>
        <w:t>行业</w:t>
      </w:r>
      <w:r>
        <w:t>标准《玻璃幕墙工程技术规范》JGJ 102、《金属与石材幕墙工程技术规范》JGJ 133、《人造板材幕墙工程技术规范》JGJ 336的相关规定。</w:t>
      </w:r>
    </w:p>
    <w:p>
      <w:pPr>
        <w:pStyle w:val="4"/>
        <w:keepNext w:val="0"/>
        <w:keepLines w:val="0"/>
        <w:spacing w:line="300" w:lineRule="auto"/>
        <w:ind w:left="0"/>
        <w:rPr>
          <w:rFonts w:hAnsi="Calibri" w:cs="Calibri" w:asciiTheme="minorHAnsi"/>
        </w:rPr>
      </w:pPr>
      <w:r>
        <w:rPr>
          <w:rFonts w:hAnsi="Calibri" w:cs="Calibri" w:asciiTheme="minorHAnsi"/>
        </w:rPr>
        <w:t>内装部品部件的生产加工应包括深化设计、制造或组装、检测及验收，并应符合下列规定：</w:t>
      </w:r>
    </w:p>
    <w:p>
      <w:pPr>
        <w:ind w:firstLine="316" w:firstLineChars="150"/>
      </w:pPr>
      <w:r>
        <w:rPr>
          <w:rFonts w:hint="eastAsia"/>
          <w:b/>
          <w:bCs/>
        </w:rPr>
        <w:t xml:space="preserve">1 </w:t>
      </w:r>
      <w:r>
        <w:rPr>
          <w:rFonts w:hint="eastAsia"/>
        </w:rPr>
        <w:t>内装部品生产前应复核相应结构系统及外围护系统上预留洞口的位置、规格等数据。</w:t>
      </w:r>
    </w:p>
    <w:p>
      <w:pPr>
        <w:ind w:firstLine="316" w:firstLineChars="150"/>
      </w:pPr>
      <w:r>
        <w:rPr>
          <w:rFonts w:hint="eastAsia"/>
          <w:b/>
          <w:bCs/>
        </w:rPr>
        <w:t xml:space="preserve">2 </w:t>
      </w:r>
      <w:r>
        <w:rPr>
          <w:rFonts w:hint="eastAsia"/>
        </w:rPr>
        <w:t>生产厂家应对出厂部品中每个部品进行编码，并宜对部品质量进行信息化追溯。</w:t>
      </w:r>
    </w:p>
    <w:p>
      <w:pPr>
        <w:ind w:firstLine="316" w:firstLineChars="150"/>
      </w:pPr>
      <w:r>
        <w:rPr>
          <w:rFonts w:hint="eastAsia"/>
          <w:b/>
          <w:bCs/>
        </w:rPr>
        <w:t xml:space="preserve">3 </w:t>
      </w:r>
      <w:r>
        <w:rPr>
          <w:rFonts w:hint="eastAsia"/>
        </w:rPr>
        <w:t>在生产时宜适度预留公差，并应标识使用位置、生产规格、材质、颜色等信息。</w:t>
      </w:r>
    </w:p>
    <w:p>
      <w:pPr>
        <w:pStyle w:val="74"/>
        <w:ind w:firstLine="400"/>
      </w:pPr>
      <w:r>
        <w:t>【条文说明】内装部品部件包括：卫生间厨房、收纳、吊顶、隔墙、地面、室内门窗。装配式整体部品包括：集成卫浴，集成厨房，整体收纳等。</w:t>
      </w:r>
    </w:p>
    <w:p>
      <w:pPr>
        <w:pStyle w:val="4"/>
        <w:keepNext w:val="0"/>
        <w:keepLines w:val="0"/>
        <w:spacing w:line="300" w:lineRule="auto"/>
        <w:ind w:left="0"/>
        <w:rPr>
          <w:rFonts w:hAnsi="Calibri" w:cs="Calibri" w:asciiTheme="minorHAnsi"/>
        </w:rPr>
      </w:pPr>
      <w:r>
        <w:rPr>
          <w:rFonts w:hAnsi="Calibri" w:cs="Calibri" w:asciiTheme="minorHAnsi"/>
        </w:rPr>
        <w:t>内装部品生产加工要求应根据设计图纸和项目地点地理位置、地势条件进行深化，满足性能指标要求。</w:t>
      </w:r>
    </w:p>
    <w:p>
      <w:pPr>
        <w:pStyle w:val="74"/>
        <w:ind w:firstLine="400"/>
      </w:pPr>
      <w:r>
        <w:t>【条文说明】重庆地区坡地众多，在很多地方路面狭窄坡陡弯大，只根据设计图纸进行深化的话，会加大运输成本和运输难度，使装配式建筑成本无形增加，导致政策推广难度加大。所以还需要考虑项目地点地理位置、地势条件等因素。</w:t>
      </w:r>
    </w:p>
    <w:p>
      <w:pPr>
        <w:pStyle w:val="4"/>
        <w:keepNext w:val="0"/>
        <w:keepLines w:val="0"/>
        <w:ind w:left="0"/>
        <w:rPr>
          <w:rFonts w:hAnsi="Calibri" w:cs="Calibri" w:asciiTheme="minorHAnsi"/>
        </w:rPr>
      </w:pPr>
      <w:r>
        <w:rPr>
          <w:rFonts w:hAnsi="Calibri" w:cs="Calibri" w:asciiTheme="minorHAnsi"/>
        </w:rPr>
        <w:t>内装部品宜进行模数协调和规模化生产，通过部品的标准化、系列化、配套化，实现内装修部品、厨卫部品、设备部品和智能化部品等的产业化集成。</w:t>
      </w:r>
    </w:p>
    <w:p>
      <w:pPr>
        <w:pStyle w:val="4"/>
        <w:keepNext w:val="0"/>
        <w:keepLines w:val="0"/>
        <w:ind w:left="0"/>
        <w:rPr>
          <w:rFonts w:hAnsi="Calibri" w:cs="Calibri" w:asciiTheme="minorHAnsi"/>
        </w:rPr>
      </w:pPr>
      <w:r>
        <w:rPr>
          <w:rFonts w:hAnsi="Calibri" w:cs="Calibri" w:asciiTheme="minorHAnsi"/>
        </w:rPr>
        <w:t>部品部件生产过程质量检验控制应符合下列规定：</w:t>
      </w:r>
    </w:p>
    <w:p>
      <w:pPr>
        <w:ind w:firstLine="316" w:firstLineChars="150"/>
      </w:pPr>
      <w:r>
        <w:rPr>
          <w:rFonts w:hint="eastAsia"/>
          <w:b/>
          <w:bCs/>
        </w:rPr>
        <w:t xml:space="preserve">1 </w:t>
      </w:r>
      <w:r>
        <w:rPr>
          <w:rFonts w:hint="eastAsia"/>
        </w:rPr>
        <w:t>首批（件）产品加工应进行自检、互检、专检，产品经检验合格形成检验记录，方可进行批量生产。</w:t>
      </w:r>
    </w:p>
    <w:p>
      <w:pPr>
        <w:ind w:firstLine="316" w:firstLineChars="150"/>
      </w:pPr>
      <w:r>
        <w:rPr>
          <w:rFonts w:hint="eastAsia"/>
          <w:b/>
          <w:bCs/>
        </w:rPr>
        <w:t xml:space="preserve">2 </w:t>
      </w:r>
      <w:r>
        <w:rPr>
          <w:rFonts w:hint="eastAsia"/>
        </w:rPr>
        <w:t>首批（件）产品检验合格后，应对产品生产加工工序、特别是重要工序控制进行巡回检验。</w:t>
      </w:r>
    </w:p>
    <w:p>
      <w:pPr>
        <w:ind w:firstLine="316" w:firstLineChars="150"/>
      </w:pPr>
      <w:r>
        <w:rPr>
          <w:rFonts w:hint="eastAsia"/>
          <w:b/>
          <w:bCs/>
        </w:rPr>
        <w:t xml:space="preserve">3 </w:t>
      </w:r>
      <w:r>
        <w:rPr>
          <w:rFonts w:hint="eastAsia"/>
        </w:rPr>
        <w:t>产品生产加工完成后，应由专业检验人员根据图纸资料、施工单等对生产产品按批次进行检查，做好产品检验记录。并应对检验中发现的不合格产品做好记录，同时应增加抽样检测样本数量或频次。</w:t>
      </w:r>
    </w:p>
    <w:p>
      <w:pPr>
        <w:ind w:firstLine="316" w:firstLineChars="150"/>
      </w:pPr>
      <w:r>
        <w:rPr>
          <w:rFonts w:hint="eastAsia"/>
          <w:b/>
          <w:bCs/>
        </w:rPr>
        <w:t xml:space="preserve">4 </w:t>
      </w:r>
      <w:r>
        <w:rPr>
          <w:rFonts w:hint="eastAsia"/>
        </w:rPr>
        <w:t>检验人员应严格按照图样及工艺技术要求的外观质量、规格尺寸等进行出厂检验，做好各项检查记录，签署产品合格证后方可入库，无合格证产品不得入库。</w:t>
      </w:r>
    </w:p>
    <w:p>
      <w:pPr>
        <w:pStyle w:val="4"/>
        <w:keepNext w:val="0"/>
        <w:keepLines w:val="0"/>
        <w:ind w:left="0"/>
        <w:rPr>
          <w:rFonts w:hAnsi="Calibri" w:cs="Calibri" w:asciiTheme="minorHAnsi"/>
        </w:rPr>
      </w:pPr>
      <w:r>
        <w:rPr>
          <w:rFonts w:hAnsi="Calibri" w:cs="Calibri" w:asciiTheme="minorHAnsi"/>
        </w:rPr>
        <w:t>部品部件生产应按下列规定进行质量过程控制：</w:t>
      </w:r>
    </w:p>
    <w:p>
      <w:pPr>
        <w:ind w:firstLine="316" w:firstLineChars="150"/>
      </w:pPr>
      <w:r>
        <w:rPr>
          <w:rFonts w:hint="eastAsia"/>
          <w:b/>
          <w:bCs/>
        </w:rPr>
        <w:t xml:space="preserve">1 </w:t>
      </w:r>
      <w:r>
        <w:rPr>
          <w:rFonts w:hint="eastAsia"/>
        </w:rPr>
        <w:t>凡涉及安全、功能的原材料，应按现行国家标准规定进行复验，见证取样、送样。</w:t>
      </w:r>
    </w:p>
    <w:p>
      <w:pPr>
        <w:ind w:firstLine="316" w:firstLineChars="150"/>
      </w:pPr>
      <w:r>
        <w:rPr>
          <w:rFonts w:hint="eastAsia"/>
          <w:b/>
          <w:bCs/>
        </w:rPr>
        <w:t xml:space="preserve">2 </w:t>
      </w:r>
      <w:r>
        <w:rPr>
          <w:rFonts w:hint="eastAsia"/>
        </w:rPr>
        <w:t>各工序应按生产工艺要求进行质量控制，实行工序检验。</w:t>
      </w:r>
    </w:p>
    <w:p>
      <w:pPr>
        <w:ind w:firstLine="316" w:firstLineChars="150"/>
      </w:pPr>
      <w:r>
        <w:rPr>
          <w:rFonts w:hint="eastAsia"/>
          <w:b/>
          <w:bCs/>
        </w:rPr>
        <w:t xml:space="preserve">3 </w:t>
      </w:r>
      <w:r>
        <w:rPr>
          <w:rFonts w:hint="eastAsia"/>
        </w:rPr>
        <w:t>相关专业工种之间应进行交接检验。</w:t>
      </w:r>
    </w:p>
    <w:p>
      <w:pPr>
        <w:ind w:firstLine="316" w:firstLineChars="150"/>
      </w:pPr>
      <w:r>
        <w:rPr>
          <w:rFonts w:hint="eastAsia"/>
          <w:b/>
          <w:bCs/>
        </w:rPr>
        <w:t xml:space="preserve">4 </w:t>
      </w:r>
      <w:r>
        <w:rPr>
          <w:rFonts w:hint="eastAsia"/>
        </w:rPr>
        <w:t>隐蔽工程在封闭前应进行质量验收。</w:t>
      </w:r>
    </w:p>
    <w:p>
      <w:pPr>
        <w:pStyle w:val="4"/>
        <w:keepNext w:val="0"/>
        <w:keepLines w:val="0"/>
        <w:ind w:left="0"/>
        <w:rPr>
          <w:rFonts w:hAnsi="Calibri" w:cs="Calibri" w:asciiTheme="minorHAnsi"/>
        </w:rPr>
      </w:pPr>
      <w:r>
        <w:rPr>
          <w:rFonts w:hAnsi="Calibri" w:cs="Calibri" w:asciiTheme="minorHAnsi"/>
        </w:rPr>
        <w:t>部品部件生产检验合格后，生产厂家应提供出厂产品质量检验合格证明。建筑部品应符合设计和现行国家</w:t>
      </w:r>
      <w:r>
        <w:rPr>
          <w:rFonts w:hint="eastAsia" w:hAnsi="Calibri" w:cs="Calibri" w:asciiTheme="minorHAnsi"/>
        </w:rPr>
        <w:t>相</w:t>
      </w:r>
      <w:r>
        <w:rPr>
          <w:rFonts w:hAnsi="Calibri" w:cs="Calibri" w:asciiTheme="minorHAnsi"/>
        </w:rPr>
        <w:t>关标准的规定，并应提供产品执行标准的说明、出厂检验合格证明文件、质量保证书和使用说明书。</w:t>
      </w:r>
    </w:p>
    <w:p>
      <w:pPr>
        <w:pStyle w:val="4"/>
        <w:keepNext w:val="0"/>
        <w:keepLines w:val="0"/>
        <w:ind w:left="0"/>
        <w:rPr>
          <w:rFonts w:hAnsi="Calibri" w:cs="Calibri" w:asciiTheme="minorHAnsi"/>
        </w:rPr>
      </w:pPr>
      <w:r>
        <w:rPr>
          <w:rFonts w:hAnsi="Calibri" w:cs="Calibri" w:asciiTheme="minorHAnsi"/>
        </w:rPr>
        <w:t>部品部件生产应进行型式检验，依据产品标准由具备检验资格的机构对产品各项指标进行抽样检验。为产品认证所进行的型式检验，除应满足本标准的相应要求，尚应符合相关国家现行标准的规定。</w:t>
      </w:r>
    </w:p>
    <w:p>
      <w:pPr>
        <w:pStyle w:val="74"/>
        <w:ind w:firstLine="400"/>
      </w:pPr>
      <w:r>
        <w:t>【条文说明】为了批准产品的设计并查明产品是否能够满足技术规范全部要求所进行的型式检验，是新产品鉴定中必不可少的一个组成部分。只有型式检验通过以后，该产品才能正式投</w:t>
      </w:r>
      <w:r>
        <w:rPr>
          <w:rFonts w:hint="eastAsia"/>
        </w:rPr>
        <w:t>入</w:t>
      </w:r>
      <w:r>
        <w:t>生产。对于批量生产的定型产品，为检查其质量稳定性，往往要质量技术监督部门或检验机构进行定期抽样检验。在某些行业该抽样检验又叫做确认检验。型式检验的依据是产品标准，为了认证目的所进行的型式检验必须依据产品国家标准。</w:t>
      </w:r>
    </w:p>
    <w:p>
      <w:pPr>
        <w:pStyle w:val="4"/>
        <w:keepNext w:val="0"/>
        <w:keepLines w:val="0"/>
        <w:ind w:left="0"/>
        <w:rPr>
          <w:rFonts w:hAnsi="Calibri" w:cs="Calibri" w:asciiTheme="minorHAnsi"/>
        </w:rPr>
      </w:pPr>
      <w:r>
        <w:rPr>
          <w:rFonts w:hAnsi="Calibri" w:cs="Calibri" w:asciiTheme="minorHAnsi"/>
        </w:rPr>
        <w:t>具有以下情形之一，应进行型式检验：</w:t>
      </w:r>
    </w:p>
    <w:p>
      <w:pPr>
        <w:ind w:firstLine="316" w:firstLineChars="150"/>
      </w:pPr>
      <w:r>
        <w:rPr>
          <w:rFonts w:hint="eastAsia"/>
          <w:b/>
          <w:bCs/>
        </w:rPr>
        <w:t xml:space="preserve">1 </w:t>
      </w:r>
      <w:r>
        <w:rPr>
          <w:rFonts w:hint="eastAsia"/>
        </w:rPr>
        <w:t>新产品和老产品转厂生产的试制定型鉴定。</w:t>
      </w:r>
    </w:p>
    <w:p>
      <w:pPr>
        <w:ind w:firstLine="316" w:firstLineChars="150"/>
      </w:pPr>
      <w:r>
        <w:rPr>
          <w:rFonts w:hint="eastAsia"/>
          <w:b/>
          <w:bCs/>
        </w:rPr>
        <w:t xml:space="preserve">2 </w:t>
      </w:r>
      <w:r>
        <w:rPr>
          <w:rFonts w:hint="eastAsia"/>
        </w:rPr>
        <w:t>正式生产后，如结构、材料、工艺有较大改变，可能影响产品性能时。</w:t>
      </w:r>
    </w:p>
    <w:p>
      <w:pPr>
        <w:ind w:firstLine="316" w:firstLineChars="150"/>
      </w:pPr>
      <w:r>
        <w:rPr>
          <w:rFonts w:hint="eastAsia"/>
          <w:b/>
          <w:bCs/>
        </w:rPr>
        <w:t xml:space="preserve">3 </w:t>
      </w:r>
      <w:r>
        <w:rPr>
          <w:rFonts w:hint="eastAsia"/>
        </w:rPr>
        <w:t>正常生产时，定期或积累一定产量后，应进行一次检验。</w:t>
      </w:r>
    </w:p>
    <w:p>
      <w:pPr>
        <w:ind w:firstLine="316" w:firstLineChars="150"/>
      </w:pPr>
      <w:r>
        <w:rPr>
          <w:rFonts w:hint="eastAsia"/>
          <w:b/>
          <w:bCs/>
        </w:rPr>
        <w:t xml:space="preserve">4 </w:t>
      </w:r>
      <w:r>
        <w:rPr>
          <w:rFonts w:hint="eastAsia"/>
        </w:rPr>
        <w:t>产品长期停产后，恢复生产时。</w:t>
      </w:r>
    </w:p>
    <w:p>
      <w:pPr>
        <w:ind w:firstLine="316" w:firstLineChars="150"/>
      </w:pPr>
      <w:r>
        <w:rPr>
          <w:rFonts w:hint="eastAsia"/>
          <w:b/>
          <w:bCs/>
        </w:rPr>
        <w:t xml:space="preserve">5 </w:t>
      </w:r>
      <w:r>
        <w:rPr>
          <w:rFonts w:hint="eastAsia"/>
        </w:rPr>
        <w:t>出厂检验结果与上次型式检验有较大差异时。</w:t>
      </w:r>
    </w:p>
    <w:p>
      <w:pPr>
        <w:ind w:firstLine="316" w:firstLineChars="150"/>
      </w:pPr>
      <w:r>
        <w:rPr>
          <w:rFonts w:hint="eastAsia"/>
          <w:b/>
          <w:bCs/>
        </w:rPr>
        <w:t xml:space="preserve">6 </w:t>
      </w:r>
      <w:r>
        <w:rPr>
          <w:rFonts w:hint="eastAsia"/>
        </w:rPr>
        <w:t>国家质量监督机构提出要求时。</w:t>
      </w:r>
    </w:p>
    <w:p>
      <w:pPr>
        <w:ind w:firstLine="316" w:firstLineChars="150"/>
      </w:pPr>
      <w:r>
        <w:rPr>
          <w:rFonts w:hint="eastAsia"/>
          <w:b/>
          <w:bCs/>
        </w:rPr>
        <w:t xml:space="preserve">7 </w:t>
      </w:r>
      <w:r>
        <w:rPr>
          <w:rFonts w:hint="eastAsia"/>
        </w:rPr>
        <w:t>用户提出进行型式检验的要求时。</w:t>
      </w:r>
    </w:p>
    <w:p>
      <w:pPr>
        <w:pStyle w:val="4"/>
        <w:keepNext w:val="0"/>
        <w:keepLines w:val="0"/>
        <w:ind w:left="0"/>
        <w:rPr>
          <w:rFonts w:hAnsi="Calibri" w:cs="Calibri" w:asciiTheme="minorHAnsi"/>
        </w:rPr>
      </w:pPr>
      <w:r>
        <w:rPr>
          <w:rFonts w:hAnsi="Calibri" w:cs="Calibri" w:asciiTheme="minorHAnsi"/>
        </w:rPr>
        <w:t>部品部件出厂时，应有部品部件重量、重心位置、吊点位置、能否倒置等标志。</w:t>
      </w:r>
    </w:p>
    <w:p>
      <w:pPr>
        <w:pStyle w:val="3"/>
        <w:keepNext w:val="0"/>
        <w:keepLines w:val="0"/>
        <w:spacing w:before="120" w:after="120"/>
        <w:ind w:firstLine="482"/>
        <w:rPr>
          <w:rFonts w:hAnsi="Calibri" w:cs="Calibri" w:asciiTheme="minorHAnsi"/>
        </w:rPr>
      </w:pPr>
      <w:bookmarkStart w:id="82" w:name="_Toc30536"/>
      <w:r>
        <w:fldChar w:fldCharType="begin"/>
      </w:r>
      <w:r>
        <w:instrText xml:space="preserve"> HYPERLINK \l "_Toc518552840"</w:instrText>
      </w:r>
      <w:r>
        <w:fldChar w:fldCharType="separate"/>
      </w:r>
      <w:bookmarkStart w:id="83" w:name="_Toc36207178"/>
      <w:r>
        <w:rPr>
          <w:rFonts w:hAnsi="Calibri" w:cs="Calibri" w:asciiTheme="minorHAnsi"/>
        </w:rPr>
        <w:t>运输与堆放</w:t>
      </w:r>
      <w:bookmarkEnd w:id="83"/>
      <w:r>
        <w:rPr>
          <w:rFonts w:hAnsi="Calibri" w:cs="Calibri" w:asciiTheme="minorHAnsi"/>
        </w:rPr>
        <w:fldChar w:fldCharType="end"/>
      </w:r>
      <w:bookmarkEnd w:id="82"/>
    </w:p>
    <w:p>
      <w:pPr>
        <w:pStyle w:val="4"/>
        <w:keepNext w:val="0"/>
        <w:keepLines w:val="0"/>
        <w:ind w:left="0"/>
        <w:rPr>
          <w:rFonts w:hAnsi="Calibri" w:cs="Calibri" w:asciiTheme="minorHAnsi"/>
          <w:b/>
        </w:rPr>
      </w:pPr>
      <w:r>
        <w:rPr>
          <w:rFonts w:hAnsi="Calibri" w:cs="Calibri" w:asciiTheme="minorHAnsi"/>
        </w:rPr>
        <w:t>部品部件的运输方式应根据部品部件特点、生产厂家要求及工程要求等确定</w:t>
      </w:r>
      <w:r>
        <w:rPr>
          <w:rFonts w:hAnsi="Calibri" w:cs="Calibri" w:asciiTheme="minorHAnsi"/>
          <w:b/>
        </w:rPr>
        <w:t>。</w:t>
      </w:r>
    </w:p>
    <w:p>
      <w:pPr>
        <w:pStyle w:val="74"/>
        <w:widowControl w:val="0"/>
        <w:ind w:firstLine="400"/>
      </w:pPr>
      <w:r>
        <w:t>【条文说明】重庆地区坡地、桥梁众多，在很多地方路面狭窄坡陡弯大或有重量、高度、宽度限制，因此运输方式需要充分考虑项目地点地理位置、地势条件等因素。</w:t>
      </w:r>
    </w:p>
    <w:p>
      <w:pPr>
        <w:pStyle w:val="4"/>
        <w:keepNext w:val="0"/>
        <w:keepLines w:val="0"/>
        <w:ind w:left="0"/>
        <w:rPr>
          <w:rFonts w:hAnsi="Calibri" w:cs="Calibri" w:asciiTheme="minorHAnsi"/>
        </w:rPr>
      </w:pPr>
      <w:r>
        <w:rPr>
          <w:rFonts w:hAnsi="Calibri" w:cs="Calibri" w:asciiTheme="minorHAnsi"/>
        </w:rPr>
        <w:t>选用的运输车辆应满足部品部件的尺寸、重量等要求，装卸与运输时应符合下列规定：</w:t>
      </w:r>
    </w:p>
    <w:p>
      <w:pPr>
        <w:ind w:firstLine="316" w:firstLineChars="150"/>
      </w:pPr>
      <w:r>
        <w:rPr>
          <w:rFonts w:hint="eastAsia"/>
          <w:b/>
          <w:bCs/>
        </w:rPr>
        <w:t xml:space="preserve">1 </w:t>
      </w:r>
      <w:r>
        <w:rPr>
          <w:rFonts w:hint="eastAsia"/>
        </w:rPr>
        <w:t>装卸时应采取保证车体平衡的措施。</w:t>
      </w:r>
    </w:p>
    <w:p>
      <w:pPr>
        <w:ind w:firstLine="316" w:firstLineChars="150"/>
      </w:pPr>
      <w:r>
        <w:rPr>
          <w:rFonts w:hint="eastAsia"/>
          <w:b/>
          <w:bCs/>
        </w:rPr>
        <w:t xml:space="preserve">2 </w:t>
      </w:r>
      <w:r>
        <w:rPr>
          <w:rFonts w:hint="eastAsia"/>
        </w:rPr>
        <w:t>应采取防止构件移动、倾倒、变形等的固定措施。</w:t>
      </w:r>
    </w:p>
    <w:p>
      <w:pPr>
        <w:ind w:firstLine="316" w:firstLineChars="150"/>
      </w:pPr>
      <w:r>
        <w:rPr>
          <w:rFonts w:hint="eastAsia"/>
          <w:b/>
          <w:bCs/>
        </w:rPr>
        <w:t xml:space="preserve">3 </w:t>
      </w:r>
      <w:r>
        <w:rPr>
          <w:rFonts w:hint="eastAsia"/>
        </w:rPr>
        <w:t>运输时应采取防止部品部件损坏的措施，对构件边角部或链索接触处宜设置保护衬垫。</w:t>
      </w:r>
    </w:p>
    <w:p>
      <w:pPr>
        <w:ind w:firstLine="316" w:firstLineChars="150"/>
      </w:pPr>
      <w:r>
        <w:rPr>
          <w:rFonts w:hint="eastAsia"/>
          <w:b/>
          <w:bCs/>
        </w:rPr>
        <w:t xml:space="preserve">4 </w:t>
      </w:r>
      <w:r>
        <w:rPr>
          <w:rFonts w:hint="eastAsia"/>
        </w:rPr>
        <w:t>对表面完好度或洁净度有要求的部品部件，要有妥善的成品保护措施，宜采用封闭包装形式。</w:t>
      </w:r>
    </w:p>
    <w:p>
      <w:pPr>
        <w:ind w:firstLine="316" w:firstLineChars="150"/>
      </w:pPr>
      <w:r>
        <w:rPr>
          <w:rFonts w:hint="eastAsia"/>
          <w:b/>
          <w:bCs/>
        </w:rPr>
        <w:t xml:space="preserve">5 </w:t>
      </w:r>
      <w:r>
        <w:rPr>
          <w:rFonts w:hint="eastAsia"/>
        </w:rPr>
        <w:t xml:space="preserve">墙板装卸宜采用柔性吊带，并对吊带与构件边、角部接触处采取保护措施，避免对墙板边、角部造成损坏。 </w:t>
      </w:r>
    </w:p>
    <w:p>
      <w:pPr>
        <w:pStyle w:val="74"/>
        <w:widowControl w:val="0"/>
        <w:ind w:firstLine="400"/>
      </w:pPr>
      <w:r>
        <w:t>【条文说明】对于外形较大、刚度较大、不易变形的构件可采用裸装发运，运输过程中杆件间应设置保护措施。</w:t>
      </w:r>
    </w:p>
    <w:p>
      <w:pPr>
        <w:pStyle w:val="4"/>
        <w:keepNext w:val="0"/>
        <w:keepLines w:val="0"/>
        <w:ind w:left="0"/>
        <w:rPr>
          <w:rFonts w:hAnsi="Calibri" w:cs="Calibri" w:asciiTheme="minorHAnsi"/>
        </w:rPr>
      </w:pPr>
      <w:r>
        <w:rPr>
          <w:rFonts w:hAnsi="Calibri" w:cs="Calibri" w:asciiTheme="minorHAnsi"/>
        </w:rPr>
        <w:t>对超高、超宽、形状特殊的大型构件的运输和堆放应制定专门的方案，应符合《超限运输车辆行驶公路管理规定》相关规定。</w:t>
      </w:r>
    </w:p>
    <w:p>
      <w:pPr>
        <w:pStyle w:val="74"/>
        <w:widowControl w:val="0"/>
        <w:ind w:firstLine="400"/>
      </w:pPr>
      <w:r>
        <w:t>【条文说明】本条规定的建筑部品部件的运输尺寸包括外形尺寸和外包装尺寸，运输时长度、宽度、高度和重量不得超过公路、铁路的有关规定。</w:t>
      </w:r>
    </w:p>
    <w:p>
      <w:pPr>
        <w:pStyle w:val="4"/>
        <w:keepNext w:val="0"/>
        <w:keepLines w:val="0"/>
        <w:ind w:left="0"/>
        <w:rPr>
          <w:rFonts w:hAnsi="Calibri" w:cs="Calibri" w:asciiTheme="minorHAnsi"/>
        </w:rPr>
      </w:pPr>
      <w:r>
        <w:rPr>
          <w:rFonts w:hAnsi="Calibri" w:cs="Calibri" w:asciiTheme="minorHAnsi"/>
        </w:rPr>
        <w:t>部品部件堆放应符合下列规定：</w:t>
      </w:r>
    </w:p>
    <w:p>
      <w:pPr>
        <w:ind w:firstLine="316" w:firstLineChars="150"/>
      </w:pPr>
      <w:r>
        <w:rPr>
          <w:rFonts w:hint="eastAsia"/>
          <w:b/>
          <w:bCs/>
        </w:rPr>
        <w:t xml:space="preserve">1 </w:t>
      </w:r>
      <w:r>
        <w:rPr>
          <w:rFonts w:hint="eastAsia"/>
        </w:rPr>
        <w:t>堆放场地应平整、坚实，并按部品部件的保管技术要求采用相应的防雨、防潮、防暴晒、防污染和排水等措施。</w:t>
      </w:r>
    </w:p>
    <w:p>
      <w:pPr>
        <w:ind w:firstLine="316" w:firstLineChars="150"/>
      </w:pPr>
      <w:r>
        <w:rPr>
          <w:rFonts w:hint="eastAsia"/>
          <w:b/>
          <w:bCs/>
        </w:rPr>
        <w:t xml:space="preserve">2 </w:t>
      </w:r>
      <w:r>
        <w:rPr>
          <w:rFonts w:hint="eastAsia"/>
        </w:rPr>
        <w:t>构件支垫应坚实，垫块在构件下的位置宜与脱模、吊装时的起吊位置一致。</w:t>
      </w:r>
    </w:p>
    <w:p>
      <w:pPr>
        <w:ind w:firstLine="316" w:firstLineChars="150"/>
      </w:pPr>
      <w:r>
        <w:rPr>
          <w:rFonts w:hint="eastAsia"/>
          <w:b/>
          <w:bCs/>
        </w:rPr>
        <w:t xml:space="preserve">3 </w:t>
      </w:r>
      <w:r>
        <w:rPr>
          <w:rFonts w:hint="eastAsia"/>
        </w:rPr>
        <w:t>重叠堆放构件时，每层构件间的垫块应上下对齐，堆垛层数应根据构件、垫块的承载力确定，并应根据需要采取防止堆垛倾覆的措施。</w:t>
      </w:r>
    </w:p>
    <w:p>
      <w:pPr>
        <w:ind w:firstLine="316" w:firstLineChars="150"/>
      </w:pPr>
      <w:r>
        <w:rPr>
          <w:rFonts w:hint="eastAsia"/>
          <w:b/>
          <w:bCs/>
        </w:rPr>
        <w:t xml:space="preserve">4 </w:t>
      </w:r>
      <w:r>
        <w:rPr>
          <w:rFonts w:hint="eastAsia"/>
        </w:rPr>
        <w:t xml:space="preserve">部品部件宜按施工顺序分类堆放，临时堆放场地应合理布置在吊装机械可吊装范围内，避免二次搬运。 </w:t>
      </w:r>
    </w:p>
    <w:p>
      <w:pPr>
        <w:pStyle w:val="4"/>
        <w:keepNext w:val="0"/>
        <w:keepLines w:val="0"/>
        <w:ind w:left="0"/>
        <w:rPr>
          <w:rFonts w:hAnsi="Calibri" w:cs="Calibri" w:asciiTheme="minorHAnsi"/>
        </w:rPr>
      </w:pPr>
      <w:r>
        <w:rPr>
          <w:rFonts w:hAnsi="Calibri" w:cs="Calibri" w:asciiTheme="minorHAnsi"/>
        </w:rPr>
        <w:t>墙板运输与堆放应符合下列规定：</w:t>
      </w:r>
    </w:p>
    <w:p>
      <w:pPr>
        <w:ind w:firstLine="316" w:firstLineChars="150"/>
      </w:pPr>
      <w:r>
        <w:rPr>
          <w:rFonts w:hint="eastAsia"/>
          <w:b/>
          <w:bCs/>
        </w:rPr>
        <w:t xml:space="preserve">1 </w:t>
      </w:r>
      <w:r>
        <w:rPr>
          <w:rFonts w:hint="eastAsia"/>
        </w:rPr>
        <w:t>当采用靠放架堆放或运输时，靠放架应具有足够的承载力和刚度，与地面倾斜角度宜大于 80°；墙板宜对称放置且外饰面朝外，墙板上部宜采用木垫块隔开；运输时应固定牢固。</w:t>
      </w:r>
    </w:p>
    <w:p>
      <w:pPr>
        <w:ind w:firstLine="316" w:firstLineChars="150"/>
      </w:pPr>
      <w:r>
        <w:rPr>
          <w:rFonts w:hint="eastAsia"/>
          <w:b/>
          <w:bCs/>
        </w:rPr>
        <w:t xml:space="preserve">2 </w:t>
      </w:r>
      <w:r>
        <w:rPr>
          <w:rFonts w:hint="eastAsia"/>
        </w:rPr>
        <w:t>当采用插放架直立堆放或运输时，宜采取直立方式运输；插放架应有足够的承载力和刚度，并应支垫稳固。</w:t>
      </w:r>
    </w:p>
    <w:p>
      <w:pPr>
        <w:ind w:firstLine="316" w:firstLineChars="150"/>
      </w:pPr>
      <w:r>
        <w:rPr>
          <w:rFonts w:hint="eastAsia"/>
          <w:b/>
          <w:bCs/>
        </w:rPr>
        <w:t xml:space="preserve">3 </w:t>
      </w:r>
      <w:r>
        <w:rPr>
          <w:rFonts w:hint="eastAsia"/>
        </w:rPr>
        <w:t>采用叠层平放的方式堆放或运输时，应采取防止产生损坏的措施。</w:t>
      </w:r>
    </w:p>
    <w:p>
      <w:pPr>
        <w:pStyle w:val="4"/>
        <w:keepNext w:val="0"/>
        <w:keepLines w:val="0"/>
        <w:ind w:left="0"/>
        <w:rPr>
          <w:rFonts w:hAnsi="Calibri" w:cs="Calibri" w:asciiTheme="minorHAnsi"/>
        </w:rPr>
      </w:pPr>
      <w:r>
        <w:rPr>
          <w:rFonts w:hAnsi="Calibri" w:cs="Calibri" w:asciiTheme="minorHAnsi"/>
        </w:rPr>
        <w:t>开孔钢板组合剪力墙的钢构件运输过程中，宜采用专用胎架。</w:t>
      </w:r>
    </w:p>
    <w:p>
      <w:pPr>
        <w:pStyle w:val="4"/>
        <w:keepNext w:val="0"/>
        <w:keepLines w:val="0"/>
        <w:ind w:left="0"/>
        <w:rPr>
          <w:rFonts w:hAnsi="Calibri" w:cs="Calibri" w:asciiTheme="minorHAnsi"/>
        </w:rPr>
      </w:pPr>
      <w:r>
        <w:rPr>
          <w:rFonts w:hAnsi="Calibri" w:cs="Calibri" w:asciiTheme="minorHAnsi"/>
        </w:rPr>
        <w:t>钢构件进场后，宜集中堆放，且应符合下列规定：</w:t>
      </w:r>
    </w:p>
    <w:p>
      <w:pPr>
        <w:ind w:firstLine="316" w:firstLineChars="150"/>
      </w:pPr>
      <w:r>
        <w:rPr>
          <w:rFonts w:hint="eastAsia"/>
          <w:b/>
          <w:bCs/>
        </w:rPr>
        <w:t xml:space="preserve">1 </w:t>
      </w:r>
      <w:r>
        <w:rPr>
          <w:rFonts w:hint="eastAsia"/>
        </w:rPr>
        <w:t>应根据安装进度计划编制零部件进场计划。</w:t>
      </w:r>
    </w:p>
    <w:p>
      <w:pPr>
        <w:ind w:firstLine="316" w:firstLineChars="150"/>
      </w:pPr>
      <w:r>
        <w:rPr>
          <w:rFonts w:hint="eastAsia"/>
          <w:b/>
          <w:bCs/>
        </w:rPr>
        <w:t xml:space="preserve">2 </w:t>
      </w:r>
      <w:r>
        <w:rPr>
          <w:rFonts w:hint="eastAsia"/>
        </w:rPr>
        <w:t>钢构件进场后应及时清理内部积水、污物。</w:t>
      </w:r>
    </w:p>
    <w:p>
      <w:pPr>
        <w:ind w:firstLine="316" w:firstLineChars="150"/>
      </w:pPr>
      <w:r>
        <w:rPr>
          <w:rFonts w:hint="eastAsia"/>
          <w:b/>
          <w:bCs/>
        </w:rPr>
        <w:t xml:space="preserve">3 </w:t>
      </w:r>
      <w:r>
        <w:rPr>
          <w:rFonts w:hint="eastAsia"/>
        </w:rPr>
        <w:t>钢构件应按安装逆顺序堆放，中间加垫木，并交错堆放。</w:t>
      </w:r>
    </w:p>
    <w:p>
      <w:pPr>
        <w:ind w:firstLine="316" w:firstLineChars="150"/>
      </w:pPr>
      <w:r>
        <w:rPr>
          <w:rFonts w:hint="eastAsia"/>
          <w:b/>
          <w:bCs/>
        </w:rPr>
        <w:t xml:space="preserve">4 </w:t>
      </w:r>
      <w:r>
        <w:rPr>
          <w:rFonts w:hint="eastAsia"/>
        </w:rPr>
        <w:t>钢构件堆放时，编号、标识应外露。</w:t>
      </w:r>
    </w:p>
    <w:p>
      <w:pPr>
        <w:rPr>
          <w:rFonts w:hAnsi="Calibri" w:cs="Calibri" w:asciiTheme="minorHAnsi"/>
          <w:b/>
          <w:bCs/>
          <w:kern w:val="44"/>
          <w:sz w:val="32"/>
          <w:szCs w:val="44"/>
        </w:rPr>
      </w:pPr>
      <w:r>
        <w:rPr>
          <w:rFonts w:hAnsi="Calibri" w:cs="Calibri" w:asciiTheme="minorHAnsi"/>
        </w:rPr>
        <w:br w:type="page"/>
      </w:r>
    </w:p>
    <w:p>
      <w:pPr>
        <w:pStyle w:val="2"/>
        <w:spacing w:before="156" w:after="156"/>
        <w:ind w:firstLine="643"/>
        <w:rPr>
          <w:rFonts w:hAnsi="Calibri" w:cs="Calibri" w:asciiTheme="minorHAnsi"/>
        </w:rPr>
      </w:pPr>
      <w:bookmarkStart w:id="84" w:name="_Toc3632"/>
      <w:r>
        <w:rPr>
          <w:rFonts w:hAnsi="Calibri" w:cs="Calibri" w:asciiTheme="minorHAnsi"/>
        </w:rPr>
        <w:t>施工安装</w:t>
      </w:r>
      <w:bookmarkEnd w:id="84"/>
    </w:p>
    <w:p>
      <w:pPr>
        <w:pStyle w:val="3"/>
        <w:keepNext w:val="0"/>
        <w:keepLines w:val="0"/>
        <w:spacing w:before="120" w:after="120"/>
        <w:ind w:firstLine="482"/>
        <w:rPr>
          <w:rFonts w:hAnsi="Calibri" w:cs="Calibri" w:asciiTheme="minorHAnsi"/>
        </w:rPr>
      </w:pPr>
      <w:bookmarkStart w:id="85" w:name="_Toc13005"/>
      <w:r>
        <w:fldChar w:fldCharType="begin"/>
      </w:r>
      <w:r>
        <w:instrText xml:space="preserve"> HYPERLINK \l "_Toc518552840"</w:instrText>
      </w:r>
      <w:r>
        <w:fldChar w:fldCharType="separate"/>
      </w:r>
      <w:bookmarkStart w:id="86" w:name="_Toc36207180"/>
      <w:r>
        <w:rPr>
          <w:rFonts w:hAnsi="Calibri" w:cs="Calibri" w:asciiTheme="minorHAnsi"/>
        </w:rPr>
        <w:t>一般规定</w:t>
      </w:r>
      <w:bookmarkEnd w:id="86"/>
      <w:r>
        <w:rPr>
          <w:rFonts w:hAnsi="Calibri" w:cs="Calibri" w:asciiTheme="minorHAnsi"/>
        </w:rPr>
        <w:fldChar w:fldCharType="end"/>
      </w:r>
      <w:bookmarkEnd w:id="85"/>
    </w:p>
    <w:p>
      <w:pPr>
        <w:pStyle w:val="4"/>
        <w:keepNext w:val="0"/>
        <w:keepLines w:val="0"/>
        <w:ind w:left="0"/>
        <w:rPr>
          <w:rFonts w:hAnsi="Calibri" w:cs="Calibri" w:asciiTheme="minorHAnsi"/>
        </w:rPr>
      </w:pPr>
      <w:r>
        <w:rPr>
          <w:rFonts w:hAnsi="Calibri" w:cs="Calibri" w:asciiTheme="minorHAnsi"/>
        </w:rPr>
        <w:t>施工前，施工单位应进行图纸会审，设计单位应进行设计交底、设计答疑。</w:t>
      </w:r>
    </w:p>
    <w:p>
      <w:pPr>
        <w:pStyle w:val="4"/>
        <w:keepNext w:val="0"/>
        <w:keepLines w:val="0"/>
        <w:ind w:left="0"/>
        <w:rPr>
          <w:rFonts w:hAnsi="Calibri" w:cs="Calibri" w:asciiTheme="minorHAnsi"/>
        </w:rPr>
      </w:pPr>
      <w:r>
        <w:rPr>
          <w:rFonts w:hAnsi="Calibri" w:cs="Calibri" w:asciiTheme="minorHAnsi"/>
        </w:rPr>
        <w:t>施工前，施工单位应编制施工组织设计、配套的施工方案、安全专项施工方案，并按规定进行审批和论证。</w:t>
      </w:r>
    </w:p>
    <w:p>
      <w:pPr>
        <w:pStyle w:val="74"/>
        <w:widowControl w:val="0"/>
        <w:ind w:firstLine="400"/>
      </w:pPr>
      <w:r>
        <w:t>【条文说明】本条规定了装配式开孔钢板</w:t>
      </w:r>
      <w:r>
        <w:rPr>
          <w:rFonts w:hint="eastAsia" w:hAnsi="Calibri" w:cs="Calibri" w:asciiTheme="minorHAnsi"/>
        </w:rPr>
        <w:t>组合</w:t>
      </w:r>
      <w:r>
        <w:t>剪力墙建筑工程施工前应完成施工组织设计、专项施工方案、安全专项方案等技术文件的编制，并按规定审批论证，以规范项目管理，确保安全施工、文明施工。</w:t>
      </w:r>
    </w:p>
    <w:p>
      <w:pPr>
        <w:pStyle w:val="4"/>
        <w:keepNext w:val="0"/>
        <w:keepLines w:val="0"/>
        <w:ind w:left="0"/>
        <w:rPr>
          <w:rFonts w:hAnsi="Calibri" w:cs="Calibri" w:asciiTheme="minorHAnsi"/>
        </w:rPr>
      </w:pPr>
      <w:r>
        <w:rPr>
          <w:rFonts w:hAnsi="Calibri" w:cs="Calibri" w:asciiTheme="minorHAnsi"/>
        </w:rPr>
        <w:t>施工单位应根据装配式开孔钢板</w:t>
      </w:r>
      <w:r>
        <w:rPr>
          <w:rFonts w:hint="eastAsia" w:hAnsi="Calibri" w:cs="Calibri" w:asciiTheme="minorHAnsi"/>
        </w:rPr>
        <w:t>组合</w:t>
      </w:r>
      <w:r>
        <w:rPr>
          <w:rFonts w:hAnsi="Calibri" w:cs="Calibri" w:asciiTheme="minorHAnsi"/>
        </w:rPr>
        <w:t>剪力墙住宅的特点，选择合适的施工方法，制定合理的施工顺序，提高施工效率。</w:t>
      </w:r>
    </w:p>
    <w:p>
      <w:pPr>
        <w:pStyle w:val="74"/>
        <w:widowControl w:val="0"/>
        <w:ind w:firstLine="400"/>
      </w:pPr>
      <w:r>
        <w:t>【条文说明】本条规定装配式开孔钢板</w:t>
      </w:r>
      <w:r>
        <w:rPr>
          <w:rFonts w:hint="eastAsia" w:hAnsi="Calibri" w:cs="Calibri" w:asciiTheme="minorHAnsi"/>
        </w:rPr>
        <w:t>组合</w:t>
      </w:r>
      <w:r>
        <w:t>剪力墙建筑的施工应根据部品部件工厂化生产、现场装配化施工的特点，采用合适的安装工法，并合理安排协调好各专业工种的交叉作业，提高施工效率。体现装配式建筑施工快、安装一体化的特点。</w:t>
      </w:r>
    </w:p>
    <w:p>
      <w:pPr>
        <w:pStyle w:val="4"/>
        <w:keepNext w:val="0"/>
        <w:keepLines w:val="0"/>
        <w:ind w:left="0"/>
        <w:rPr>
          <w:rFonts w:hAnsi="Calibri" w:cs="Calibri" w:asciiTheme="minorHAnsi"/>
        </w:rPr>
      </w:pPr>
      <w:r>
        <w:rPr>
          <w:rFonts w:hAnsi="Calibri" w:cs="Calibri" w:asciiTheme="minorHAnsi"/>
        </w:rPr>
        <w:t>施工用的设备、机具、工具应处于受控状态，并应进行定期维护保养，计量器具应在有效的检定周期内。</w:t>
      </w:r>
    </w:p>
    <w:p>
      <w:pPr>
        <w:pStyle w:val="74"/>
        <w:widowControl w:val="0"/>
        <w:ind w:firstLine="400"/>
      </w:pPr>
      <w:r>
        <w:t>【条文说明】装配式钢结构建筑工程施工期间，使用的机具和工具必须进行定期检验，保证达到使用要求的性能及各项指标。</w:t>
      </w:r>
    </w:p>
    <w:p>
      <w:pPr>
        <w:pStyle w:val="4"/>
        <w:keepNext w:val="0"/>
        <w:keepLines w:val="0"/>
        <w:ind w:left="0"/>
      </w:pPr>
      <w:r>
        <w:t>装配式开孔钢板</w:t>
      </w:r>
      <w:r>
        <w:rPr>
          <w:rFonts w:hint="eastAsia" w:hAnsi="Calibri" w:cs="Calibri" w:asciiTheme="minorHAnsi"/>
        </w:rPr>
        <w:t>组合</w:t>
      </w:r>
      <w:r>
        <w:t>剪力墙建筑宜采用信息化技术（BIM），对安全、质量、技术、施工进度等进行全过程的信息化协同管理。</w:t>
      </w:r>
    </w:p>
    <w:p>
      <w:pPr>
        <w:pStyle w:val="74"/>
        <w:widowControl w:val="0"/>
        <w:ind w:firstLine="400"/>
      </w:pPr>
      <w:r>
        <w:t>【条文说明】本条规定鼓励在项目管理的各个环节充分利用信息化技术（BIM技术），结合施工方案，进行虚拟建造、施工进度模拟、碰撞检测等，不仅可以提高施工效率，确保施工质量，而且可为施工单位精确制定人物料计划提供有效支撑，减少资源、物流、仓储等环节的浪费。达到一体化施工，各系统之间能更好的衔接，能及早的发现冲突或错误。</w:t>
      </w:r>
    </w:p>
    <w:p>
      <w:pPr>
        <w:pStyle w:val="4"/>
        <w:keepNext w:val="0"/>
        <w:keepLines w:val="0"/>
        <w:ind w:left="0"/>
        <w:rPr>
          <w:rFonts w:hAnsi="Calibri" w:cs="Calibri" w:asciiTheme="minorHAnsi"/>
        </w:rPr>
      </w:pPr>
      <w:r>
        <w:rPr>
          <w:rFonts w:hAnsi="Calibri" w:cs="Calibri" w:asciiTheme="minorHAnsi"/>
        </w:rPr>
        <w:t>部品吊装应采用专用吊具，起吊和就位应平稳，防止磕碰。</w:t>
      </w:r>
    </w:p>
    <w:p>
      <w:pPr>
        <w:pStyle w:val="4"/>
        <w:keepNext w:val="0"/>
        <w:keepLines w:val="0"/>
        <w:ind w:left="0"/>
      </w:pPr>
      <w:r>
        <w:t>钢结构施工应符合现行国家标准《钢结构工程施工规范》GB 50755和《钢结构工程施工质量验收规范》GB 50205的规定。</w:t>
      </w:r>
    </w:p>
    <w:p>
      <w:pPr>
        <w:pStyle w:val="3"/>
        <w:keepNext w:val="0"/>
        <w:keepLines w:val="0"/>
        <w:spacing w:before="120" w:after="120"/>
        <w:ind w:firstLine="482"/>
        <w:rPr>
          <w:rFonts w:hAnsi="Calibri" w:cs="Calibri" w:asciiTheme="minorHAnsi"/>
        </w:rPr>
      </w:pPr>
      <w:bookmarkStart w:id="87" w:name="_Toc18791"/>
      <w:r>
        <w:fldChar w:fldCharType="begin"/>
      </w:r>
      <w:r>
        <w:instrText xml:space="preserve"> HYPERLINK \l "_Toc518552841"</w:instrText>
      </w:r>
      <w:r>
        <w:fldChar w:fldCharType="separate"/>
      </w:r>
      <w:bookmarkStart w:id="88" w:name="_Toc36207181"/>
      <w:r>
        <w:rPr>
          <w:rFonts w:hAnsi="Calibri" w:cs="Calibri" w:asciiTheme="minorHAnsi"/>
        </w:rPr>
        <w:t>施工安装准备</w:t>
      </w:r>
      <w:bookmarkEnd w:id="88"/>
      <w:r>
        <w:rPr>
          <w:rFonts w:hAnsi="Calibri" w:cs="Calibri" w:asciiTheme="minorHAnsi"/>
        </w:rPr>
        <w:fldChar w:fldCharType="end"/>
      </w:r>
      <w:bookmarkEnd w:id="87"/>
    </w:p>
    <w:p>
      <w:pPr>
        <w:pStyle w:val="4"/>
        <w:keepNext w:val="0"/>
        <w:keepLines w:val="0"/>
        <w:ind w:left="0"/>
        <w:rPr>
          <w:rFonts w:hAnsi="Calibri" w:cs="Calibri" w:asciiTheme="minorHAnsi"/>
        </w:rPr>
      </w:pPr>
      <w:r>
        <w:rPr>
          <w:rFonts w:hAnsi="Calibri" w:cs="Calibri" w:asciiTheme="minorHAnsi"/>
        </w:rPr>
        <w:t>施工单位应对装配式开孔钢板</w:t>
      </w:r>
      <w:r>
        <w:rPr>
          <w:rFonts w:hint="eastAsia" w:hAnsi="Calibri" w:cs="Calibri" w:asciiTheme="minorHAnsi"/>
        </w:rPr>
        <w:t>组合</w:t>
      </w:r>
      <w:r>
        <w:rPr>
          <w:rFonts w:hAnsi="Calibri" w:cs="Calibri" w:asciiTheme="minorHAnsi"/>
        </w:rPr>
        <w:t>剪力墙建筑的现场施工人员进行专业的培训和安全、技术交底。</w:t>
      </w:r>
    </w:p>
    <w:p>
      <w:pPr>
        <w:pStyle w:val="74"/>
        <w:widowControl w:val="0"/>
        <w:ind w:firstLine="400"/>
      </w:pPr>
      <w:r>
        <w:t>【条文说明】装配式钢结构建筑施工应配备相关专业技术人员，施工前应对相关人员进行专业培训和技术交底。</w:t>
      </w:r>
    </w:p>
    <w:p>
      <w:pPr>
        <w:pStyle w:val="4"/>
        <w:keepNext w:val="0"/>
        <w:keepLines w:val="0"/>
        <w:ind w:left="0"/>
        <w:rPr>
          <w:rFonts w:hAnsi="Calibri" w:cs="Calibri" w:asciiTheme="minorHAnsi"/>
        </w:rPr>
      </w:pPr>
      <w:r>
        <w:rPr>
          <w:rFonts w:hAnsi="Calibri" w:cs="Calibri" w:asciiTheme="minorHAnsi"/>
        </w:rPr>
        <w:t>对所有进场部品部件、零配件及辅助材料应按设计规定的品种、规格、尺寸和外观要求进行检查。</w:t>
      </w:r>
    </w:p>
    <w:p>
      <w:pPr>
        <w:pStyle w:val="74"/>
        <w:widowControl w:val="0"/>
        <w:ind w:firstLine="400"/>
      </w:pPr>
      <w:r>
        <w:t>【条文说明】安装现场对构件的外形尺寸、螺栓孔大小和间距、焊缝坡口、摩擦面、构件数量规格等进行检查并做好记录。不符合要求的构件需进行返修。</w:t>
      </w:r>
    </w:p>
    <w:p>
      <w:pPr>
        <w:pStyle w:val="4"/>
        <w:keepNext w:val="0"/>
        <w:keepLines w:val="0"/>
        <w:ind w:left="0"/>
      </w:pPr>
      <w:r>
        <w:t>钢结构施工前应进行施工阶段验算分析，选用的设计指标应符合设计文件和现行国家标准《钢结构设计标准》GB 50017等的规定。施工阶段结构分析的荷载效应组合和荷载分项系数取值，应符合现行国家标准《建筑结构荷载规范》GB 50009和《钢结构工程施工规范》GB50755的规定。</w:t>
      </w:r>
    </w:p>
    <w:p>
      <w:pPr>
        <w:pStyle w:val="74"/>
        <w:widowControl w:val="0"/>
        <w:ind w:firstLine="400"/>
      </w:pPr>
      <w:r>
        <w:t>【条文说明】钢结构施工前应进行施工阶段验算分析，施工阶段验算分析主要内容包括构件吊装安全验算分析、重型构件所用的临时支承结构安全验算分析、施工阶段结构安全验算分析、施工阶段结构变形及位移分析等。</w:t>
      </w:r>
    </w:p>
    <w:p>
      <w:pPr>
        <w:pStyle w:val="4"/>
        <w:keepNext w:val="0"/>
        <w:keepLines w:val="0"/>
        <w:ind w:left="0"/>
      </w:pPr>
      <w:r>
        <w:t>设备与管线系统安装前应对通风空调、给水排水、强弱电、末端设施布置及装修等进行综合考虑，宜采用BIM技术进行综合分析。</w:t>
      </w:r>
    </w:p>
    <w:p>
      <w:pPr>
        <w:pStyle w:val="74"/>
        <w:widowControl w:val="0"/>
        <w:ind w:firstLine="400"/>
      </w:pPr>
      <w:r>
        <w:t>【条文说明】设备与管线系统安装前应对通风空调、给水排水、强弱电、末端设施布置及装修等进行综合考虑，宜采用 BIM 技术进行综合碰撞分析，避免在施工现场进行剔凿、切割，伤及构件，影响质量及观感。</w:t>
      </w:r>
    </w:p>
    <w:p>
      <w:pPr>
        <w:pStyle w:val="4"/>
        <w:keepNext w:val="0"/>
        <w:keepLines w:val="0"/>
        <w:ind w:left="0"/>
        <w:rPr>
          <w:rFonts w:hAnsi="Calibri" w:cs="Calibri" w:asciiTheme="minorHAnsi"/>
        </w:rPr>
      </w:pPr>
      <w:r>
        <w:rPr>
          <w:rFonts w:hAnsi="Calibri" w:cs="Calibri" w:asciiTheme="minorHAnsi"/>
        </w:rPr>
        <w:t>设备与管线施工前应按设计文件核对设备及管线参数，并应对结构构件预埋套管及预留孔洞的尺寸、位置进行复核，合格后方可施工。</w:t>
      </w:r>
    </w:p>
    <w:p>
      <w:pPr>
        <w:pStyle w:val="4"/>
        <w:keepNext w:val="0"/>
        <w:keepLines w:val="0"/>
        <w:ind w:left="0"/>
        <w:rPr>
          <w:rFonts w:hAnsi="Calibri" w:cs="Calibri" w:asciiTheme="minorHAnsi"/>
        </w:rPr>
      </w:pPr>
      <w:r>
        <w:rPr>
          <w:rFonts w:hAnsi="Calibri" w:cs="Calibri" w:asciiTheme="minorHAnsi"/>
        </w:rPr>
        <w:t>内装部品全面施工前应先施工样板间，样板间应经设计、建设及监理单位确认。</w:t>
      </w:r>
    </w:p>
    <w:p>
      <w:pPr>
        <w:pStyle w:val="3"/>
        <w:keepNext w:val="0"/>
        <w:keepLines w:val="0"/>
        <w:spacing w:before="120" w:after="120"/>
        <w:ind w:firstLine="482"/>
        <w:rPr>
          <w:rFonts w:hAnsi="Calibri" w:cs="Calibri" w:asciiTheme="minorHAnsi"/>
        </w:rPr>
      </w:pPr>
      <w:bookmarkStart w:id="89" w:name="_Toc30457"/>
      <w:r>
        <w:fldChar w:fldCharType="begin"/>
      </w:r>
      <w:r>
        <w:instrText xml:space="preserve"> HYPERLINK \l "_Toc518552842"</w:instrText>
      </w:r>
      <w:r>
        <w:fldChar w:fldCharType="separate"/>
      </w:r>
      <w:bookmarkStart w:id="90" w:name="_Toc36207182"/>
      <w:r>
        <w:rPr>
          <w:rFonts w:hAnsi="Calibri" w:cs="Calibri" w:asciiTheme="minorHAnsi"/>
        </w:rPr>
        <w:t>安装与连接</w:t>
      </w:r>
      <w:bookmarkEnd w:id="90"/>
      <w:r>
        <w:rPr>
          <w:rFonts w:hAnsi="Calibri" w:cs="Calibri" w:asciiTheme="minorHAnsi"/>
        </w:rPr>
        <w:fldChar w:fldCharType="end"/>
      </w:r>
      <w:bookmarkEnd w:id="89"/>
    </w:p>
    <w:p>
      <w:pPr>
        <w:pStyle w:val="4"/>
        <w:keepNext w:val="0"/>
        <w:keepLines w:val="0"/>
        <w:ind w:left="0"/>
        <w:rPr>
          <w:rFonts w:hAnsi="Calibri" w:cs="Calibri" w:asciiTheme="minorHAnsi"/>
        </w:rPr>
      </w:pPr>
      <w:r>
        <w:rPr>
          <w:rFonts w:hAnsi="Calibri" w:cs="Calibri" w:asciiTheme="minorHAnsi"/>
        </w:rPr>
        <w:t>钢结构应根据结构特点选择合理顺序进行安装，开孔钢板组合剪力墙宜对称安装，吊装就位后应采取临时固定措施，并及时连接相邻钢梁。</w:t>
      </w:r>
    </w:p>
    <w:p>
      <w:pPr>
        <w:pStyle w:val="74"/>
        <w:widowControl w:val="0"/>
        <w:ind w:firstLine="400"/>
      </w:pPr>
      <w:r>
        <w:t>【条文说明】本条规定的合理顺序需要考虑到平面运输、结构体系转换、测量校正、精度调整及系统构成等因素。安装阶段的结构稳定性对保证施工安全和安装精度非常重要，构件在安装就位后，应利用其它相邻构件或采用临时措施进行固定。临时支撑或临时措施应具有足够的承载力，并且不使结构产生永久变形，对重大构件的支承架需要进行验算，小型的构件临时支撑或胎架可根据施工经验确定。根据安装单元的构件类型，选择合适的支垫方式。</w:t>
      </w:r>
    </w:p>
    <w:p>
      <w:pPr>
        <w:pStyle w:val="4"/>
        <w:keepNext w:val="0"/>
        <w:keepLines w:val="0"/>
        <w:ind w:left="0"/>
        <w:rPr>
          <w:rFonts w:hAnsi="Calibri" w:cs="Calibri" w:asciiTheme="minorHAnsi"/>
        </w:rPr>
      </w:pPr>
      <w:r>
        <w:rPr>
          <w:rFonts w:hAnsi="Calibri" w:cs="Calibri" w:asciiTheme="minorHAnsi"/>
        </w:rPr>
        <w:t>高层钢结构安装时应计入竖向压缩变形对结构的影响，并应根据结构特点和影响程度采取预调安装标高、设置后连续构件等措施。</w:t>
      </w:r>
    </w:p>
    <w:p>
      <w:pPr>
        <w:pStyle w:val="74"/>
        <w:widowControl w:val="0"/>
        <w:ind w:firstLine="400"/>
      </w:pPr>
      <w:r>
        <w:t>【条文说明】高层钢结构安装时，随着楼层升高结构承受的荷载将不断增加，这对已安装完成的竖向结构将产生竖向压缩变形，同时也对局部构件产生附加应力和弯矩。在编制安装方案时，应根据设计文件的要求，并结合结构特点以及竖向变形对结构的影响程度，考虑是否需要采取预调安装标高、设置后连接构件固定等措施。</w:t>
      </w:r>
    </w:p>
    <w:p>
      <w:pPr>
        <w:pStyle w:val="4"/>
        <w:keepNext w:val="0"/>
        <w:keepLines w:val="0"/>
        <w:ind w:left="0"/>
        <w:rPr>
          <w:rFonts w:hAnsi="Calibri" w:cs="Calibri" w:asciiTheme="minorHAnsi"/>
        </w:rPr>
      </w:pPr>
      <w:r>
        <w:rPr>
          <w:rFonts w:hAnsi="Calibri" w:cs="Calibri" w:asciiTheme="minorHAnsi"/>
        </w:rPr>
        <w:t>钢结构施工期间，应对结构变形、环境变化等进行过程监测，监测方法、内容及部位应根据设计或结构特点确定。</w:t>
      </w:r>
    </w:p>
    <w:p>
      <w:pPr>
        <w:pStyle w:val="74"/>
        <w:widowControl w:val="0"/>
        <w:ind w:firstLine="400"/>
      </w:pPr>
      <w:r>
        <w:t>【条文说明】钢结构工程施工监测内容主要包括结构变形监测、环境变化监测（如温差、日照、风荷载等外界环境因素对结构的影响）等。一般情况监测点宜布置在监测对象的关键部位以便布设少量的监测点，仍可获得客观监测结果。</w:t>
      </w:r>
    </w:p>
    <w:p>
      <w:pPr>
        <w:pStyle w:val="4"/>
        <w:keepNext w:val="0"/>
        <w:keepLines w:val="0"/>
        <w:ind w:left="0"/>
      </w:pPr>
      <w:r>
        <w:t>钢结构紧固件连接工艺和质量应符合现行国家</w:t>
      </w:r>
      <w:r>
        <w:rPr>
          <w:rFonts w:hint="eastAsia"/>
        </w:rPr>
        <w:t>及行业</w:t>
      </w:r>
      <w:r>
        <w:t>标准《钢结构工程施工规范》GB 50755、《钢结构工程施工质量验收规范》GB 50205和《钢结构高强度螺栓连接技术规程》JGJ82的规定。</w:t>
      </w:r>
    </w:p>
    <w:p>
      <w:pPr>
        <w:pStyle w:val="4"/>
        <w:keepNext w:val="0"/>
        <w:keepLines w:val="0"/>
        <w:ind w:left="0"/>
        <w:rPr>
          <w:rFonts w:hAnsi="Calibri" w:cs="Calibri" w:asciiTheme="minorHAnsi"/>
        </w:rPr>
      </w:pPr>
      <w:r>
        <w:rPr>
          <w:rFonts w:hAnsi="Calibri" w:cs="Calibri" w:asciiTheme="minorHAnsi"/>
        </w:rPr>
        <w:t>钢结构工程测量应符合下列规定：</w:t>
      </w:r>
    </w:p>
    <w:p>
      <w:pPr>
        <w:ind w:firstLine="316" w:firstLineChars="150"/>
      </w:pPr>
      <w:r>
        <w:rPr>
          <w:rFonts w:hint="eastAsia"/>
          <w:b/>
          <w:bCs/>
        </w:rPr>
        <w:t xml:space="preserve">1 </w:t>
      </w:r>
      <w:r>
        <w:rPr>
          <w:rFonts w:hint="eastAsia"/>
        </w:rPr>
        <w:t>钢结构安装前应设置施工控制网，施工测量前，应根据设计图和安装方案，编制测量专项方案。</w:t>
      </w:r>
    </w:p>
    <w:p>
      <w:pPr>
        <w:ind w:firstLine="316" w:firstLineChars="150"/>
      </w:pPr>
      <w:r>
        <w:rPr>
          <w:rFonts w:hint="eastAsia"/>
          <w:b/>
          <w:bCs/>
        </w:rPr>
        <w:t xml:space="preserve">2 </w:t>
      </w:r>
      <w:r>
        <w:rPr>
          <w:rFonts w:hint="eastAsia"/>
        </w:rPr>
        <w:t>施工阶段的测量应包括平面控制、高程控制、垂直度控制和细部测量。</w:t>
      </w:r>
    </w:p>
    <w:p>
      <w:pPr>
        <w:pStyle w:val="74"/>
        <w:widowControl w:val="0"/>
        <w:ind w:firstLine="400"/>
      </w:pPr>
      <w:r>
        <w:t>【条文说明】测量工作贯穿施工过程始终，应做好以下几项工作：</w:t>
      </w:r>
    </w:p>
    <w:p>
      <w:pPr>
        <w:pStyle w:val="74"/>
        <w:widowControl w:val="0"/>
        <w:ind w:firstLine="402"/>
      </w:pPr>
      <w:r>
        <w:rPr>
          <w:b/>
          <w:bCs/>
        </w:rPr>
        <w:t>1</w:t>
      </w:r>
      <w:r>
        <w:t xml:space="preserve"> 设计图纸的审核</w:t>
      </w:r>
      <w:r>
        <w:rPr>
          <w:rFonts w:hint="eastAsia"/>
        </w:rPr>
        <w:t>。</w:t>
      </w:r>
    </w:p>
    <w:p>
      <w:pPr>
        <w:pStyle w:val="74"/>
        <w:widowControl w:val="0"/>
        <w:ind w:firstLine="402"/>
      </w:pPr>
      <w:r>
        <w:rPr>
          <w:b/>
          <w:bCs/>
        </w:rPr>
        <w:t>2</w:t>
      </w:r>
      <w:r>
        <w:t xml:space="preserve"> 测量定位依据点的交接和校测</w:t>
      </w:r>
      <w:r>
        <w:rPr>
          <w:rFonts w:hint="eastAsia"/>
        </w:rPr>
        <w:t>。</w:t>
      </w:r>
    </w:p>
    <w:p>
      <w:pPr>
        <w:pStyle w:val="74"/>
        <w:widowControl w:val="0"/>
        <w:ind w:firstLine="402"/>
      </w:pPr>
      <w:r>
        <w:rPr>
          <w:b/>
          <w:bCs/>
        </w:rPr>
        <w:t>3</w:t>
      </w:r>
      <w:r>
        <w:t xml:space="preserve"> 测量用具的检定与检校</w:t>
      </w:r>
      <w:r>
        <w:rPr>
          <w:rFonts w:hint="eastAsia"/>
        </w:rPr>
        <w:t>。</w:t>
      </w:r>
    </w:p>
    <w:p>
      <w:pPr>
        <w:pStyle w:val="74"/>
        <w:widowControl w:val="0"/>
        <w:ind w:firstLine="402"/>
      </w:pPr>
      <w:r>
        <w:rPr>
          <w:b/>
          <w:bCs/>
        </w:rPr>
        <w:t>4</w:t>
      </w:r>
      <w:r>
        <w:t xml:space="preserve"> 测量方案的编制与数据准备</w:t>
      </w:r>
      <w:r>
        <w:rPr>
          <w:rFonts w:hint="eastAsia"/>
        </w:rPr>
        <w:t>。</w:t>
      </w:r>
    </w:p>
    <w:p>
      <w:pPr>
        <w:pStyle w:val="74"/>
        <w:widowControl w:val="0"/>
        <w:ind w:firstLine="402"/>
      </w:pPr>
      <w:r>
        <w:rPr>
          <w:b/>
          <w:bCs/>
        </w:rPr>
        <w:t>5</w:t>
      </w:r>
      <w:r>
        <w:t xml:space="preserve"> 建筑物测量验线</w:t>
      </w:r>
      <w:r>
        <w:rPr>
          <w:rFonts w:hint="eastAsia"/>
        </w:rPr>
        <w:t>。</w:t>
      </w:r>
    </w:p>
    <w:p>
      <w:pPr>
        <w:pStyle w:val="74"/>
        <w:widowControl w:val="0"/>
        <w:ind w:firstLine="402"/>
      </w:pPr>
      <w:r>
        <w:rPr>
          <w:b/>
          <w:bCs/>
        </w:rPr>
        <w:t>6</w:t>
      </w:r>
      <w:r>
        <w:t xml:space="preserve"> 钢结构安装阶段的测量放线。</w:t>
      </w:r>
    </w:p>
    <w:p>
      <w:pPr>
        <w:pStyle w:val="4"/>
        <w:keepNext w:val="0"/>
        <w:keepLines w:val="0"/>
        <w:ind w:left="0"/>
        <w:rPr>
          <w:rFonts w:hAnsi="Calibri" w:cs="Calibri" w:asciiTheme="minorHAnsi"/>
        </w:rPr>
      </w:pPr>
      <w:r>
        <w:rPr>
          <w:rFonts w:hAnsi="Calibri" w:cs="Calibri" w:asciiTheme="minorHAnsi"/>
        </w:rPr>
        <w:t>构件正式吊装前应先试吊，当吊索受力拉紧后停止提升吊钩，检查构件是否捆绑牢固，检查吊索具和吊耳是否正常可靠，试吊结束检查满足条件后方可进行正式吊装。</w:t>
      </w:r>
    </w:p>
    <w:p>
      <w:pPr>
        <w:pStyle w:val="4"/>
        <w:keepNext w:val="0"/>
        <w:keepLines w:val="0"/>
        <w:ind w:left="0"/>
        <w:rPr>
          <w:rFonts w:hAnsi="Calibri" w:cs="Calibri" w:asciiTheme="minorHAnsi"/>
        </w:rPr>
      </w:pPr>
      <w:r>
        <w:rPr>
          <w:rFonts w:hAnsi="Calibri" w:cs="Calibri" w:asciiTheme="minorHAnsi"/>
        </w:rPr>
        <w:t>钢结构现场涂装应符合下列规定：</w:t>
      </w:r>
    </w:p>
    <w:p>
      <w:pPr>
        <w:ind w:firstLine="316" w:firstLineChars="150"/>
      </w:pPr>
      <w:r>
        <w:rPr>
          <w:rFonts w:hint="eastAsia"/>
          <w:b/>
          <w:bCs/>
        </w:rPr>
        <w:t xml:space="preserve">1 </w:t>
      </w:r>
      <w:r>
        <w:rPr>
          <w:rFonts w:hint="eastAsia"/>
        </w:rPr>
        <w:t>构件在运输、存放和安装过程中损坏的涂层以及安装连接部位的涂层应进行现场补漆，并应符合原涂装工艺要求。</w:t>
      </w:r>
    </w:p>
    <w:p>
      <w:pPr>
        <w:ind w:firstLine="316" w:firstLineChars="150"/>
      </w:pPr>
      <w:r>
        <w:rPr>
          <w:rFonts w:hint="eastAsia"/>
          <w:b/>
          <w:bCs/>
        </w:rPr>
        <w:t xml:space="preserve">2 </w:t>
      </w:r>
      <w:r>
        <w:rPr>
          <w:rFonts w:hint="eastAsia"/>
        </w:rPr>
        <w:t>构件表面的涂装系统应相互兼容。</w:t>
      </w:r>
    </w:p>
    <w:p>
      <w:pPr>
        <w:ind w:firstLine="316" w:firstLineChars="150"/>
      </w:pPr>
      <w:r>
        <w:rPr>
          <w:rFonts w:hint="eastAsia"/>
          <w:b/>
          <w:bCs/>
        </w:rPr>
        <w:t xml:space="preserve">3 </w:t>
      </w:r>
      <w:r>
        <w:rPr>
          <w:rFonts w:hint="eastAsia"/>
        </w:rPr>
        <w:t>防火涂料应符合国家现行有关标准的规定。</w:t>
      </w:r>
    </w:p>
    <w:p>
      <w:pPr>
        <w:ind w:firstLine="316" w:firstLineChars="150"/>
      </w:pPr>
      <w:r>
        <w:rPr>
          <w:rFonts w:hint="eastAsia"/>
          <w:b/>
          <w:bCs/>
        </w:rPr>
        <w:t xml:space="preserve">4 </w:t>
      </w:r>
      <w:r>
        <w:rPr>
          <w:rFonts w:hint="eastAsia"/>
        </w:rPr>
        <w:t>现场防腐和防火涂装应符合现行国家标准《钢结构工程施工规范》GB 50755和《钢结构工程施工质量验收规范》GB 50205的规定。</w:t>
      </w:r>
    </w:p>
    <w:p>
      <w:pPr>
        <w:pStyle w:val="74"/>
        <w:widowControl w:val="0"/>
        <w:rPr>
          <w:rFonts w:hAnsi="Calibri" w:cs="Calibri" w:asciiTheme="minorHAnsi"/>
          <w:sz w:val="21"/>
          <w:szCs w:val="22"/>
        </w:rPr>
      </w:pPr>
      <w:r>
        <w:rPr>
          <w:rFonts w:hAnsi="Calibri" w:cs="Calibri" w:asciiTheme="minorHAnsi"/>
          <w:sz w:val="21"/>
          <w:szCs w:val="22"/>
        </w:rPr>
        <w:t>【条文说明】本条主要规定现场涂装要求：</w:t>
      </w:r>
    </w:p>
    <w:p>
      <w:pPr>
        <w:pStyle w:val="74"/>
        <w:widowControl w:val="0"/>
        <w:ind w:firstLine="402"/>
      </w:pPr>
      <w:r>
        <w:rPr>
          <w:b/>
          <w:bCs/>
        </w:rPr>
        <w:t>1</w:t>
      </w:r>
      <w:r>
        <w:t xml:space="preserve"> 构件在运输、安装过程中涂层破损、焊接烧伤等，应根据原涂装规定进行补漆；表面涂有工程底漆的构件，因焊接、火焰校正、暴晒和擦伤等造成重新锈蚀或附有白锌盐时，应经表面处理后再按原涂装规定进行补漆。</w:t>
      </w:r>
    </w:p>
    <w:p>
      <w:pPr>
        <w:pStyle w:val="74"/>
        <w:widowControl w:val="0"/>
        <w:ind w:firstLine="402"/>
      </w:pPr>
      <w:r>
        <w:rPr>
          <w:b/>
          <w:bCs/>
        </w:rPr>
        <w:t>2</w:t>
      </w:r>
      <w:r>
        <w:t xml:space="preserve"> 条款中的兼容性是指构件表面防腐油漆的底层漆、中间漆、和面层漆之间的搭配互相兼容，以及防腐油漆与防火涂料相互兼容，以保证涂装系统的质量。整个涂装体系的产品应尽量来自于同一厂家，以保证涂装质量的可追溯性。</w:t>
      </w:r>
    </w:p>
    <w:p>
      <w:pPr>
        <w:pStyle w:val="4"/>
        <w:keepNext w:val="0"/>
        <w:keepLines w:val="0"/>
        <w:ind w:left="0"/>
        <w:rPr>
          <w:rFonts w:hAnsi="Calibri" w:cs="Calibri" w:asciiTheme="minorHAnsi"/>
        </w:rPr>
      </w:pPr>
      <w:r>
        <w:rPr>
          <w:rFonts w:hAnsi="Calibri" w:cs="Calibri" w:asciiTheme="minorHAnsi"/>
        </w:rPr>
        <w:t>对钢梁、钢柱的防火板包覆施工应符合下列规定：</w:t>
      </w:r>
    </w:p>
    <w:p>
      <w:pPr>
        <w:ind w:firstLine="316" w:firstLineChars="150"/>
      </w:pPr>
      <w:r>
        <w:rPr>
          <w:rFonts w:hint="eastAsia"/>
          <w:b/>
          <w:bCs/>
        </w:rPr>
        <w:t xml:space="preserve">1 </w:t>
      </w:r>
      <w:r>
        <w:rPr>
          <w:rFonts w:hint="eastAsia"/>
        </w:rPr>
        <w:t>支撑件应固定牢固，防火板安装应牢固稳定，封闭良好。</w:t>
      </w:r>
    </w:p>
    <w:p>
      <w:pPr>
        <w:ind w:firstLine="316" w:firstLineChars="150"/>
      </w:pPr>
      <w:r>
        <w:rPr>
          <w:rFonts w:hint="eastAsia"/>
          <w:b/>
          <w:bCs/>
        </w:rPr>
        <w:t xml:space="preserve">2 </w:t>
      </w:r>
      <w:r>
        <w:rPr>
          <w:rFonts w:hint="eastAsia"/>
        </w:rPr>
        <w:t>防火板表面应洁净平整。</w:t>
      </w:r>
    </w:p>
    <w:p>
      <w:pPr>
        <w:ind w:firstLine="316" w:firstLineChars="150"/>
      </w:pPr>
      <w:r>
        <w:rPr>
          <w:rFonts w:hint="eastAsia"/>
          <w:b/>
          <w:bCs/>
        </w:rPr>
        <w:t xml:space="preserve">3 </w:t>
      </w:r>
      <w:r>
        <w:rPr>
          <w:rFonts w:hint="eastAsia"/>
        </w:rPr>
        <w:t>分层包覆时，应分层固定，相互压缝。</w:t>
      </w:r>
    </w:p>
    <w:p>
      <w:pPr>
        <w:ind w:firstLine="316" w:firstLineChars="150"/>
      </w:pPr>
      <w:r>
        <w:rPr>
          <w:rFonts w:hint="eastAsia"/>
          <w:b/>
          <w:bCs/>
        </w:rPr>
        <w:t xml:space="preserve">4 </w:t>
      </w:r>
      <w:r>
        <w:rPr>
          <w:rFonts w:hint="eastAsia"/>
        </w:rPr>
        <w:t>防火板接缝应严密、顺直，边缘整齐。</w:t>
      </w:r>
    </w:p>
    <w:p>
      <w:pPr>
        <w:ind w:firstLine="316" w:firstLineChars="150"/>
      </w:pPr>
      <w:r>
        <w:rPr>
          <w:rFonts w:hint="eastAsia"/>
          <w:b/>
          <w:bCs/>
        </w:rPr>
        <w:t xml:space="preserve">5 </w:t>
      </w:r>
      <w:r>
        <w:rPr>
          <w:rFonts w:hint="eastAsia"/>
        </w:rPr>
        <w:t>采用复合防火保护时，填充的防火材料应为不燃材料，且不得有空鼓、外露。</w:t>
      </w:r>
    </w:p>
    <w:p>
      <w:pPr>
        <w:pStyle w:val="4"/>
        <w:keepNext w:val="0"/>
        <w:keepLines w:val="0"/>
        <w:ind w:left="0"/>
      </w:pPr>
      <w:r>
        <w:t>压型钢板组合楼板和钢筋桁架楼承板组合楼板的施工应按现行国家标准《钢-混凝土组合结构施工规范》GB 50901执行。</w:t>
      </w:r>
    </w:p>
    <w:p>
      <w:pPr>
        <w:pStyle w:val="4"/>
        <w:keepNext w:val="0"/>
        <w:keepLines w:val="0"/>
        <w:ind w:left="0"/>
        <w:rPr>
          <w:rFonts w:hAnsi="Calibri" w:cs="Calibri" w:asciiTheme="minorHAnsi"/>
        </w:rPr>
      </w:pPr>
      <w:r>
        <w:rPr>
          <w:rFonts w:hAnsi="Calibri" w:cs="Calibri" w:asciiTheme="minorHAnsi"/>
        </w:rPr>
        <w:t>混凝土叠合板施工应符合下列规定：</w:t>
      </w:r>
    </w:p>
    <w:p>
      <w:pPr>
        <w:ind w:firstLine="316" w:firstLineChars="150"/>
      </w:pPr>
      <w:r>
        <w:rPr>
          <w:rFonts w:hint="eastAsia"/>
          <w:b/>
          <w:bCs/>
        </w:rPr>
        <w:t xml:space="preserve">1 </w:t>
      </w:r>
      <w:r>
        <w:rPr>
          <w:rFonts w:hint="eastAsia"/>
        </w:rPr>
        <w:t>应根据设计要求或施工方案设置临时支撑。</w:t>
      </w:r>
    </w:p>
    <w:p>
      <w:pPr>
        <w:ind w:firstLine="316" w:firstLineChars="150"/>
      </w:pPr>
      <w:r>
        <w:rPr>
          <w:rFonts w:hint="eastAsia"/>
          <w:b/>
          <w:bCs/>
        </w:rPr>
        <w:t xml:space="preserve">2 </w:t>
      </w:r>
      <w:r>
        <w:rPr>
          <w:rFonts w:hint="eastAsia"/>
        </w:rPr>
        <w:t>施工荷载应均匀布置，且不超过设计规定。</w:t>
      </w:r>
    </w:p>
    <w:p>
      <w:pPr>
        <w:ind w:firstLine="316" w:firstLineChars="150"/>
      </w:pPr>
      <w:r>
        <w:rPr>
          <w:rFonts w:hint="eastAsia"/>
          <w:b/>
          <w:bCs/>
        </w:rPr>
        <w:t xml:space="preserve">3 </w:t>
      </w:r>
      <w:r>
        <w:rPr>
          <w:rFonts w:hint="eastAsia"/>
        </w:rPr>
        <w:t>端部的搁置长度应符合设计或国家现行有关标准的规定。</w:t>
      </w:r>
    </w:p>
    <w:p>
      <w:pPr>
        <w:ind w:firstLine="316" w:firstLineChars="150"/>
      </w:pPr>
      <w:r>
        <w:rPr>
          <w:rFonts w:hint="eastAsia"/>
          <w:b/>
          <w:bCs/>
        </w:rPr>
        <w:t xml:space="preserve">4 </w:t>
      </w:r>
      <w:r>
        <w:rPr>
          <w:rFonts w:hint="eastAsia"/>
        </w:rPr>
        <w:t>叠合板混凝土浇筑前，应按设计要求检查结合面的粗糙度及外露钢筋。</w:t>
      </w:r>
    </w:p>
    <w:p>
      <w:pPr>
        <w:pStyle w:val="74"/>
        <w:widowControl w:val="0"/>
        <w:ind w:firstLine="400"/>
      </w:pPr>
      <w:r>
        <w:t>【条文说明】混凝土叠合板施工应考虑两阶段受力特点，施工时应采取质量保证措施避免产生裂缝。</w:t>
      </w:r>
    </w:p>
    <w:p>
      <w:pPr>
        <w:pStyle w:val="4"/>
        <w:keepNext w:val="0"/>
        <w:keepLines w:val="0"/>
        <w:ind w:left="0"/>
      </w:pPr>
      <w:r>
        <w:t>开孔钢板组合剪力墙内的混凝土浇筑应符合现行国家标准《钢-混凝土组合结构施工规范》GB 50901的规定。</w:t>
      </w:r>
    </w:p>
    <w:p>
      <w:pPr>
        <w:pStyle w:val="4"/>
        <w:keepNext w:val="0"/>
        <w:keepLines w:val="0"/>
        <w:ind w:left="0"/>
        <w:rPr>
          <w:rFonts w:hAnsi="Calibri" w:cs="Calibri" w:asciiTheme="minorHAnsi"/>
        </w:rPr>
      </w:pPr>
      <w:r>
        <w:rPr>
          <w:rFonts w:hAnsi="Calibri" w:cs="Calibri" w:asciiTheme="minorHAnsi"/>
        </w:rPr>
        <w:t>外围护部品安装宜与主体结构同步进行，可在安装部位的主体结构验收合格后进行。</w:t>
      </w:r>
    </w:p>
    <w:p>
      <w:pPr>
        <w:pStyle w:val="74"/>
        <w:widowControl w:val="0"/>
        <w:ind w:firstLine="400"/>
        <w:rPr>
          <w:szCs w:val="22"/>
        </w:rPr>
      </w:pPr>
      <w:r>
        <w:t>【条文说明】外围护系统可在一个流水段主体结构分项工程验收合格后，与主体结构同步施工，但应采取可靠防护措施，避免施工过程中损坏已安装墙体及保证作业人员安全。</w:t>
      </w:r>
    </w:p>
    <w:p>
      <w:pPr>
        <w:pStyle w:val="4"/>
        <w:keepNext w:val="0"/>
        <w:keepLines w:val="0"/>
        <w:ind w:left="0"/>
        <w:rPr>
          <w:rFonts w:hAnsi="Calibri" w:cs="Calibri" w:asciiTheme="minorHAnsi"/>
        </w:rPr>
      </w:pPr>
      <w:r>
        <w:rPr>
          <w:rFonts w:hAnsi="Calibri" w:cs="Calibri" w:asciiTheme="minorHAnsi"/>
        </w:rPr>
        <w:t>预制外墙安装应符合下列规定：</w:t>
      </w:r>
    </w:p>
    <w:p>
      <w:pPr>
        <w:ind w:firstLine="316" w:firstLineChars="150"/>
      </w:pPr>
      <w:r>
        <w:rPr>
          <w:rFonts w:hint="eastAsia"/>
          <w:b/>
          <w:bCs/>
        </w:rPr>
        <w:t xml:space="preserve">1 </w:t>
      </w:r>
      <w:r>
        <w:rPr>
          <w:rFonts w:hint="eastAsia"/>
        </w:rPr>
        <w:t>墙板应设置临时固定和调整装置。</w:t>
      </w:r>
    </w:p>
    <w:p>
      <w:pPr>
        <w:ind w:firstLine="316" w:firstLineChars="150"/>
      </w:pPr>
      <w:r>
        <w:rPr>
          <w:rFonts w:hint="eastAsia"/>
          <w:b/>
          <w:bCs/>
        </w:rPr>
        <w:t xml:space="preserve">2 </w:t>
      </w:r>
      <w:r>
        <w:rPr>
          <w:rFonts w:hint="eastAsia"/>
        </w:rPr>
        <w:t>墙板应在轴线、标高和垂直度调校合格后方可永久固定。</w:t>
      </w:r>
    </w:p>
    <w:p>
      <w:pPr>
        <w:ind w:firstLine="316" w:firstLineChars="150"/>
      </w:pPr>
      <w:r>
        <w:rPr>
          <w:rFonts w:hint="eastAsia"/>
          <w:b/>
          <w:bCs/>
        </w:rPr>
        <w:t xml:space="preserve">3 </w:t>
      </w:r>
      <w:r>
        <w:rPr>
          <w:rFonts w:hint="eastAsia"/>
        </w:rPr>
        <w:t>当条板采用双层墙板安装时，内外墙板的拼缝宜错开。</w:t>
      </w:r>
    </w:p>
    <w:p>
      <w:pPr>
        <w:ind w:firstLine="316" w:firstLineChars="150"/>
      </w:pPr>
      <w:r>
        <w:rPr>
          <w:rFonts w:hint="eastAsia"/>
          <w:b/>
          <w:bCs/>
        </w:rPr>
        <w:t xml:space="preserve">4 </w:t>
      </w:r>
      <w:r>
        <w:rPr>
          <w:rFonts w:hint="eastAsia"/>
        </w:rPr>
        <w:t>蒸压加气混凝土板施工应符合现行行业标准《蒸压加气混凝土制品应用技术标准》JGJ/T 17的规定。</w:t>
      </w:r>
    </w:p>
    <w:p>
      <w:pPr>
        <w:pStyle w:val="74"/>
        <w:widowControl w:val="0"/>
        <w:ind w:firstLine="400"/>
      </w:pPr>
      <w:r>
        <w:t>【条文说明】</w:t>
      </w:r>
      <w:r>
        <w:rPr>
          <w:rFonts w:hint="eastAsia"/>
        </w:rPr>
        <w:t>预</w:t>
      </w:r>
      <w:r>
        <w:t>制外墙吊装就位后，应通过临时固定和调整装置，调整整体轴线位置、标高、垂直度，接缝宽度等，经测量校核合格后，才能永久固定。为确保施工安全，墙板永久固定前，吊机不得松钩。</w:t>
      </w:r>
    </w:p>
    <w:p>
      <w:pPr>
        <w:pStyle w:val="4"/>
        <w:keepNext w:val="0"/>
        <w:keepLines w:val="0"/>
        <w:ind w:left="0"/>
        <w:rPr>
          <w:rFonts w:hAnsi="Calibri" w:cs="Calibri" w:asciiTheme="minorHAnsi"/>
        </w:rPr>
      </w:pPr>
      <w:r>
        <w:rPr>
          <w:rFonts w:hAnsi="Calibri" w:cs="Calibri" w:asciiTheme="minorHAnsi"/>
        </w:rPr>
        <w:t>现场组合骨架外墙安装应符合下列规定：</w:t>
      </w:r>
    </w:p>
    <w:p>
      <w:pPr>
        <w:ind w:firstLine="316" w:firstLineChars="150"/>
      </w:pPr>
      <w:r>
        <w:rPr>
          <w:rFonts w:hint="eastAsia"/>
          <w:b/>
          <w:bCs/>
        </w:rPr>
        <w:t xml:space="preserve">1 </w:t>
      </w:r>
      <w:r>
        <w:rPr>
          <w:rFonts w:hint="eastAsia"/>
        </w:rPr>
        <w:t>竖向龙骨安装应平直，不得扭曲，间距应符合设计要求。</w:t>
      </w:r>
    </w:p>
    <w:p>
      <w:pPr>
        <w:ind w:firstLine="316" w:firstLineChars="150"/>
      </w:pPr>
      <w:r>
        <w:rPr>
          <w:rFonts w:hint="eastAsia"/>
          <w:b/>
          <w:bCs/>
        </w:rPr>
        <w:t xml:space="preserve">2 </w:t>
      </w:r>
      <w:r>
        <w:rPr>
          <w:rFonts w:hint="eastAsia"/>
        </w:rPr>
        <w:t>空腔内的保温材料应连续、密实，并应在隐蔽验收合格后方可进行面板安装。</w:t>
      </w:r>
    </w:p>
    <w:p>
      <w:pPr>
        <w:ind w:firstLine="316" w:firstLineChars="150"/>
      </w:pPr>
      <w:r>
        <w:rPr>
          <w:rFonts w:hint="eastAsia"/>
          <w:b/>
          <w:bCs/>
        </w:rPr>
        <w:t xml:space="preserve">3 </w:t>
      </w:r>
      <w:r>
        <w:rPr>
          <w:rFonts w:hint="eastAsia"/>
        </w:rPr>
        <w:t>面板安装方向及拼缝位置应符合设计要求，内外侧接缝不宜在同一根竖向龙骨上。</w:t>
      </w:r>
    </w:p>
    <w:p>
      <w:pPr>
        <w:ind w:firstLine="316" w:firstLineChars="150"/>
      </w:pPr>
      <w:r>
        <w:rPr>
          <w:rFonts w:hint="eastAsia"/>
          <w:b/>
          <w:bCs/>
        </w:rPr>
        <w:t xml:space="preserve">4 </w:t>
      </w:r>
      <w:r>
        <w:rPr>
          <w:rFonts w:hint="eastAsia"/>
        </w:rPr>
        <w:t>木骨架组合墙体施工应符合现行国家标准《木骨架组合墙体技术标准》GB/T 50361的规定。</w:t>
      </w:r>
    </w:p>
    <w:p>
      <w:pPr>
        <w:pStyle w:val="4"/>
        <w:keepNext w:val="0"/>
        <w:keepLines w:val="0"/>
        <w:ind w:left="0"/>
        <w:rPr>
          <w:rFonts w:hAnsi="Calibri" w:cs="Calibri" w:asciiTheme="minorHAnsi"/>
        </w:rPr>
      </w:pPr>
      <w:r>
        <w:rPr>
          <w:rFonts w:hAnsi="Calibri" w:cs="Calibri" w:asciiTheme="minorHAnsi"/>
        </w:rPr>
        <w:t>幕墙施工应符合下列规定：</w:t>
      </w:r>
    </w:p>
    <w:p>
      <w:pPr>
        <w:ind w:firstLine="316" w:firstLineChars="150"/>
      </w:pPr>
      <w:r>
        <w:rPr>
          <w:rFonts w:hint="eastAsia"/>
          <w:b/>
          <w:bCs/>
        </w:rPr>
        <w:t xml:space="preserve">1 </w:t>
      </w:r>
      <w:r>
        <w:rPr>
          <w:rFonts w:hint="eastAsia"/>
        </w:rPr>
        <w:t>玻璃幕墙施工应符合现行行业标准《玻璃幕墙工程技术规范》JGJ 102的规定。</w:t>
      </w:r>
    </w:p>
    <w:p>
      <w:pPr>
        <w:ind w:firstLine="316" w:firstLineChars="150"/>
      </w:pPr>
      <w:r>
        <w:rPr>
          <w:rFonts w:hint="eastAsia"/>
          <w:b/>
          <w:bCs/>
        </w:rPr>
        <w:t xml:space="preserve">2 </w:t>
      </w:r>
      <w:r>
        <w:rPr>
          <w:rFonts w:hint="eastAsia"/>
        </w:rPr>
        <w:t>金属与石材幕墙施工应符合现行行业标准《金属与石材幕墙工程技术规范》JGJ 133的规定。</w:t>
      </w:r>
    </w:p>
    <w:p>
      <w:pPr>
        <w:ind w:firstLine="316" w:firstLineChars="150"/>
      </w:pPr>
      <w:r>
        <w:rPr>
          <w:rFonts w:hint="eastAsia"/>
          <w:b/>
          <w:bCs/>
        </w:rPr>
        <w:t xml:space="preserve">3 </w:t>
      </w:r>
      <w:r>
        <w:rPr>
          <w:rFonts w:hint="eastAsia"/>
        </w:rPr>
        <w:t>人造板材幕墙施工应符合现行行业标准《人造板材幕墙工程技术规范》JGJ 336的规定。</w:t>
      </w:r>
    </w:p>
    <w:p>
      <w:pPr>
        <w:pStyle w:val="4"/>
        <w:keepNext w:val="0"/>
        <w:keepLines w:val="0"/>
        <w:ind w:left="0"/>
      </w:pPr>
      <w:r>
        <w:t>铝合金门窗在安装前应提供产品合格证书（应符合</w:t>
      </w:r>
      <w:r>
        <w:rPr>
          <w:rFonts w:hint="eastAsia"/>
        </w:rPr>
        <w:t>现行国家标准《工业产品保证文件 总则》</w:t>
      </w:r>
      <w:r>
        <w:t>GB/T 14436规定），其安装应符合现行</w:t>
      </w:r>
      <w:r>
        <w:rPr>
          <w:rFonts w:hint="eastAsia"/>
        </w:rPr>
        <w:t>国家</w:t>
      </w:r>
      <w:r>
        <w:t>标准</w:t>
      </w:r>
      <w:r>
        <w:rPr>
          <w:rFonts w:hint="eastAsia"/>
        </w:rPr>
        <w:t>《铝合金门窗》</w:t>
      </w:r>
      <w:r>
        <w:t>GB/T 8478的规定。</w:t>
      </w:r>
    </w:p>
    <w:p>
      <w:pPr>
        <w:pStyle w:val="4"/>
        <w:keepNext w:val="0"/>
        <w:keepLines w:val="0"/>
        <w:ind w:left="0"/>
        <w:rPr>
          <w:rFonts w:hAnsi="Calibri" w:cs="Calibri" w:asciiTheme="minorHAnsi"/>
        </w:rPr>
      </w:pPr>
      <w:r>
        <w:rPr>
          <w:rFonts w:hAnsi="Calibri" w:cs="Calibri" w:asciiTheme="minorHAnsi"/>
        </w:rPr>
        <w:t>设备与管线需要与钢结构构件连接时，宜采用预留埋件的连接方式。当采用其他连接方式时，不得影响钢结构构件的完整性与结构的安全性。</w:t>
      </w:r>
    </w:p>
    <w:p>
      <w:pPr>
        <w:pStyle w:val="74"/>
        <w:widowControl w:val="0"/>
        <w:ind w:firstLine="400"/>
      </w:pPr>
      <w:r>
        <w:t>【条文说明】主干管与钢结构的连接需进行受力计算。</w:t>
      </w:r>
    </w:p>
    <w:p>
      <w:pPr>
        <w:pStyle w:val="4"/>
        <w:keepNext w:val="0"/>
        <w:keepLines w:val="0"/>
        <w:ind w:left="0"/>
        <w:rPr>
          <w:rFonts w:hAnsi="Calibri" w:cs="Calibri" w:asciiTheme="minorHAnsi"/>
        </w:rPr>
      </w:pPr>
      <w:r>
        <w:rPr>
          <w:rFonts w:hAnsi="Calibri" w:cs="Calibri" w:asciiTheme="minorHAnsi"/>
        </w:rPr>
        <w:t>设备与管线安装应按管道的定位、标高等绘制预留套管图，在工厂完成套管预留及质量验收。</w:t>
      </w:r>
    </w:p>
    <w:p>
      <w:pPr>
        <w:pStyle w:val="4"/>
        <w:keepNext w:val="0"/>
        <w:keepLines w:val="0"/>
        <w:ind w:left="0"/>
        <w:rPr>
          <w:rFonts w:hAnsi="Calibri" w:cs="Calibri" w:asciiTheme="minorHAnsi"/>
        </w:rPr>
      </w:pPr>
      <w:r>
        <w:rPr>
          <w:rFonts w:hAnsi="Calibri" w:cs="Calibri" w:asciiTheme="minorHAnsi"/>
        </w:rPr>
        <w:t>在有防腐防火保护层的钢结构上安装管道或设备支（吊）架时，宜采用非焊接方式固定；采用焊接时应对被损坏的防腐防火保护层进行修补。</w:t>
      </w:r>
    </w:p>
    <w:p>
      <w:pPr>
        <w:pStyle w:val="74"/>
        <w:widowControl w:val="0"/>
        <w:ind w:firstLine="400"/>
      </w:pPr>
      <w:r>
        <w:t>【条文说明】施工时应考虑工序穿插协调，在钢结构防腐防火涂料施工前应进行连接支（吊）架焊接固定。如不具备此条件，因安装支（吊）架而损坏的防护涂层应及时修补。</w:t>
      </w:r>
    </w:p>
    <w:p>
      <w:pPr>
        <w:pStyle w:val="4"/>
        <w:keepNext w:val="0"/>
        <w:keepLines w:val="0"/>
        <w:ind w:left="0"/>
        <w:rPr>
          <w:rFonts w:hAnsi="Calibri" w:cs="Calibri" w:asciiTheme="minorHAnsi"/>
        </w:rPr>
      </w:pPr>
      <w:r>
        <w:rPr>
          <w:rFonts w:hAnsi="Calibri" w:cs="Calibri" w:asciiTheme="minorHAnsi"/>
        </w:rPr>
        <w:t>管道波纹补偿器、法兰及焊接接口不应设置在钢梁或钢柱的预留孔中。</w:t>
      </w:r>
    </w:p>
    <w:p>
      <w:pPr>
        <w:pStyle w:val="4"/>
        <w:keepNext w:val="0"/>
        <w:keepLines w:val="0"/>
        <w:ind w:left="0"/>
      </w:pPr>
      <w:r>
        <w:t>设备与管线施工质量应符合设计文件和现行国家标准《建筑给水排水及采暖工程施工质量验收规范》GB 50242、《通风与空调工程施工质量验收规范》GB 50243、《智能建筑工程施工规范》GB 50606、《智能建筑工程质量验收规范》GB 50339、《建筑电气工程施工质量验收规范》GB 50303和《火灾自动报警系统施工及验收标准》GB 50166的规定。</w:t>
      </w:r>
    </w:p>
    <w:p>
      <w:pPr>
        <w:pStyle w:val="4"/>
        <w:keepNext w:val="0"/>
        <w:keepLines w:val="0"/>
        <w:ind w:left="0"/>
        <w:rPr>
          <w:rFonts w:hAnsi="Calibri" w:cs="Calibri" w:asciiTheme="minorHAnsi"/>
        </w:rPr>
      </w:pPr>
      <w:r>
        <w:rPr>
          <w:rFonts w:hAnsi="Calibri" w:cs="Calibri" w:asciiTheme="minorHAnsi"/>
        </w:rPr>
        <w:t>空调风管及冷热水管道与支（吊）架之间，应有绝热衬垫，其厚度不应小于绝热层厚度，宽度应不小于支（吊）架支承面的宽度。</w:t>
      </w:r>
    </w:p>
    <w:p>
      <w:pPr>
        <w:pStyle w:val="4"/>
        <w:keepNext w:val="0"/>
        <w:keepLines w:val="0"/>
        <w:ind w:left="0"/>
        <w:rPr>
          <w:rFonts w:hAnsi="Calibri" w:cs="Calibri" w:asciiTheme="minorHAnsi"/>
        </w:rPr>
      </w:pPr>
      <w:r>
        <w:rPr>
          <w:rFonts w:hAnsi="Calibri" w:cs="Calibri" w:asciiTheme="minorHAnsi"/>
        </w:rPr>
        <w:t>防雷引下线、防侧击雷等电位联结施工应与钢构件安装做好施工配合。</w:t>
      </w:r>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剪力墙建筑的内装系统安装应在主体结构工程质量验收合格后进行。</w:t>
      </w:r>
    </w:p>
    <w:p>
      <w:pPr>
        <w:pStyle w:val="4"/>
        <w:keepNext w:val="0"/>
        <w:keepLines w:val="0"/>
        <w:ind w:left="0"/>
      </w:pPr>
      <w:r>
        <w:t>装配式开孔钢板</w:t>
      </w:r>
      <w:r>
        <w:rPr>
          <w:rFonts w:hint="eastAsia" w:hAnsi="Calibri" w:cs="Calibri" w:asciiTheme="minorHAnsi"/>
        </w:rPr>
        <w:t>组合</w:t>
      </w:r>
      <w:r>
        <w:t>剪力墙建筑内装系统安装应符合现行国家标准《建筑装饰装修工程质量验收标准》GB 50210和《住宅装饰装修工程施工规范》GB 50327等的规定，并应满足绿色施工要求。</w:t>
      </w:r>
    </w:p>
    <w:p>
      <w:pPr>
        <w:pStyle w:val="4"/>
        <w:keepNext w:val="0"/>
        <w:keepLines w:val="0"/>
        <w:ind w:left="0"/>
        <w:rPr>
          <w:rFonts w:hAnsi="Calibri" w:cs="Calibri" w:asciiTheme="minorHAnsi"/>
        </w:rPr>
      </w:pPr>
      <w:r>
        <w:rPr>
          <w:rFonts w:hAnsi="Calibri" w:cs="Calibri" w:asciiTheme="minorHAnsi"/>
        </w:rPr>
        <w:t>内装系统安装过程中应进行隐蔽工程检查和分段（分户）验收，并形成检验记录。</w:t>
      </w:r>
    </w:p>
    <w:p>
      <w:pPr>
        <w:pStyle w:val="4"/>
        <w:keepNext w:val="0"/>
        <w:keepLines w:val="0"/>
        <w:ind w:left="0"/>
      </w:pPr>
      <w:r>
        <w:t>装配式隔墙部品安装应符合下列规定：</w:t>
      </w:r>
    </w:p>
    <w:p>
      <w:pPr>
        <w:ind w:firstLine="316" w:firstLineChars="150"/>
      </w:pPr>
      <w:r>
        <w:rPr>
          <w:rFonts w:hint="eastAsia"/>
          <w:b/>
          <w:bCs/>
        </w:rPr>
        <w:t xml:space="preserve">1 </w:t>
      </w:r>
      <w:r>
        <w:rPr>
          <w:rFonts w:hint="eastAsia"/>
        </w:rPr>
        <w:t>条板隔墙安装应符合现行行业标准《建筑轻质条板隔墙技术规程》JGJ/T157的有关规定。</w:t>
      </w:r>
    </w:p>
    <w:p>
      <w:pPr>
        <w:ind w:firstLine="316" w:firstLineChars="150"/>
      </w:pPr>
      <w:r>
        <w:rPr>
          <w:rFonts w:hint="eastAsia"/>
          <w:b/>
          <w:bCs/>
        </w:rPr>
        <w:t xml:space="preserve">2 </w:t>
      </w:r>
      <w:r>
        <w:rPr>
          <w:rFonts w:hint="eastAsia"/>
        </w:rPr>
        <w:t>龙骨隔墙系统安装应符合下列规定：</w:t>
      </w:r>
    </w:p>
    <w:p>
      <w:pPr>
        <w:ind w:firstLine="315" w:firstLineChars="150"/>
      </w:pPr>
      <w:r>
        <w:rPr>
          <w:rFonts w:hint="eastAsia"/>
        </w:rPr>
        <w:t>1）龙骨骨架与主体结构连接应采用柔性连接，并应竖直、平整、位置准确，龙骨的间距应符合设计要求；</w:t>
      </w:r>
    </w:p>
    <w:p>
      <w:pPr>
        <w:ind w:firstLine="315" w:firstLineChars="150"/>
      </w:pPr>
      <w:r>
        <w:rPr>
          <w:rFonts w:hint="eastAsia"/>
        </w:rPr>
        <w:t>2）面板安装前，隔墙内管线、填充材料应进行隐蔽工程验收；</w:t>
      </w:r>
    </w:p>
    <w:p>
      <w:pPr>
        <w:ind w:firstLine="315" w:firstLineChars="150"/>
      </w:pPr>
      <w:r>
        <w:rPr>
          <w:rFonts w:hint="eastAsia"/>
        </w:rPr>
        <w:t>3）面板拼缝应错缝设置，当采用双层面板安装时，上下层板的接缝应错开。</w:t>
      </w:r>
    </w:p>
    <w:p>
      <w:pPr>
        <w:pStyle w:val="4"/>
        <w:keepNext w:val="0"/>
        <w:keepLines w:val="0"/>
        <w:ind w:left="0"/>
        <w:rPr>
          <w:rFonts w:hAnsi="Calibri" w:cs="Calibri" w:asciiTheme="minorHAnsi"/>
        </w:rPr>
      </w:pPr>
      <w:r>
        <w:rPr>
          <w:rFonts w:hAnsi="Calibri" w:cs="Calibri" w:asciiTheme="minorHAnsi"/>
        </w:rPr>
        <w:t>装配式吊顶部品安装应符合下列规定：</w:t>
      </w:r>
    </w:p>
    <w:p>
      <w:pPr>
        <w:ind w:firstLine="316" w:firstLineChars="150"/>
      </w:pPr>
      <w:r>
        <w:rPr>
          <w:rFonts w:hint="eastAsia"/>
          <w:b/>
          <w:bCs/>
        </w:rPr>
        <w:t xml:space="preserve">1 </w:t>
      </w:r>
      <w:r>
        <w:rPr>
          <w:rFonts w:hint="eastAsia"/>
        </w:rPr>
        <w:t>吊顶龙骨与主体结构应固定牢靠。</w:t>
      </w:r>
    </w:p>
    <w:p>
      <w:pPr>
        <w:ind w:firstLine="316" w:firstLineChars="150"/>
      </w:pPr>
      <w:r>
        <w:rPr>
          <w:rFonts w:hint="eastAsia"/>
          <w:b/>
          <w:bCs/>
        </w:rPr>
        <w:t xml:space="preserve">2 </w:t>
      </w:r>
      <w:r>
        <w:rPr>
          <w:rFonts w:hint="eastAsia"/>
        </w:rPr>
        <w:t>超过3kg的灯具、电扇及其他设备应设置独立吊杆固定。</w:t>
      </w:r>
    </w:p>
    <w:p>
      <w:pPr>
        <w:ind w:firstLine="316" w:firstLineChars="150"/>
      </w:pPr>
      <w:r>
        <w:rPr>
          <w:rFonts w:hint="eastAsia"/>
          <w:b/>
          <w:bCs/>
        </w:rPr>
        <w:t xml:space="preserve">3 </w:t>
      </w:r>
      <w:r>
        <w:rPr>
          <w:rFonts w:hint="eastAsia"/>
        </w:rPr>
        <w:t>饰面板安装前应完成吊顶内管道管线施工，并应经隐蔽验收合格。</w:t>
      </w:r>
    </w:p>
    <w:p>
      <w:pPr>
        <w:pStyle w:val="74"/>
        <w:widowControl w:val="0"/>
        <w:ind w:firstLine="400"/>
      </w:pPr>
      <w:r>
        <w:t>【条文说明】超过3kg的灯具及电扇等有动荷载的物件，均应采用独立吊杆固定，严禁安装在吊顶龙骨上。吊顶板内的管线、设备在饰面板安装之前应作为隐蔽项目，调试验收完应作记录。</w:t>
      </w:r>
    </w:p>
    <w:p>
      <w:pPr>
        <w:pStyle w:val="4"/>
        <w:keepNext w:val="0"/>
        <w:keepLines w:val="0"/>
        <w:ind w:left="0"/>
        <w:rPr>
          <w:rFonts w:hAnsi="Calibri" w:cs="Calibri" w:asciiTheme="minorHAnsi"/>
        </w:rPr>
      </w:pPr>
      <w:r>
        <w:rPr>
          <w:rFonts w:hAnsi="Calibri" w:cs="Calibri" w:asciiTheme="minorHAnsi"/>
        </w:rPr>
        <w:t>应避免采用温湿度敏感材料进行大面积吊顶施工。高大空间的整体顶棚施工，宜采用地面拼装、整体提升就位的方式。</w:t>
      </w:r>
    </w:p>
    <w:p>
      <w:pPr>
        <w:pStyle w:val="4"/>
        <w:keepNext w:val="0"/>
        <w:keepLines w:val="0"/>
        <w:ind w:left="0"/>
        <w:rPr>
          <w:rFonts w:hAnsi="Calibri" w:cs="Calibri" w:asciiTheme="minorHAnsi"/>
        </w:rPr>
      </w:pPr>
      <w:r>
        <w:rPr>
          <w:rFonts w:hAnsi="Calibri" w:cs="Calibri" w:asciiTheme="minorHAnsi"/>
        </w:rPr>
        <w:t>架空地板部品安装前应完成架空层内管线敷设，并应经隐蔽验收合格。</w:t>
      </w:r>
    </w:p>
    <w:p>
      <w:pPr>
        <w:pStyle w:val="4"/>
        <w:keepNext w:val="0"/>
        <w:keepLines w:val="0"/>
        <w:ind w:left="0"/>
        <w:rPr>
          <w:rFonts w:hAnsi="Calibri" w:cs="Calibri" w:asciiTheme="minorHAnsi"/>
        </w:rPr>
      </w:pPr>
      <w:r>
        <w:rPr>
          <w:rFonts w:hAnsi="Calibri" w:cs="Calibri" w:asciiTheme="minorHAnsi"/>
        </w:rPr>
        <w:t>集成式卫生间部品安装前应先进行地面基层和墙面防水处理，并做闭水试验。</w:t>
      </w:r>
    </w:p>
    <w:p>
      <w:pPr>
        <w:pStyle w:val="74"/>
        <w:widowControl w:val="0"/>
        <w:ind w:firstLine="400"/>
      </w:pPr>
      <w:r>
        <w:t>【条文说明】集成卫生间安装前，应先进行地面基层和墙面的防水处理，防水处理施工及质量控制可按照现行国家标准《住宅装饰装修工程施工规范》GB 50327中防水工程的规定执行。</w:t>
      </w:r>
    </w:p>
    <w:p>
      <w:pPr>
        <w:pStyle w:val="4"/>
        <w:keepNext w:val="0"/>
        <w:keepLines w:val="0"/>
        <w:ind w:left="0"/>
        <w:rPr>
          <w:rFonts w:hAnsi="Calibri" w:cs="Calibri" w:asciiTheme="minorHAnsi"/>
        </w:rPr>
      </w:pPr>
      <w:r>
        <w:rPr>
          <w:rFonts w:hAnsi="Calibri" w:cs="Calibri" w:asciiTheme="minorHAnsi"/>
        </w:rPr>
        <w:t>集成式厨房部品安装应符合下列规定：</w:t>
      </w:r>
    </w:p>
    <w:p>
      <w:pPr>
        <w:ind w:firstLine="316" w:firstLineChars="150"/>
      </w:pPr>
      <w:r>
        <w:rPr>
          <w:rFonts w:hint="eastAsia"/>
          <w:b/>
          <w:bCs/>
        </w:rPr>
        <w:t xml:space="preserve">1 </w:t>
      </w:r>
      <w:r>
        <w:rPr>
          <w:rFonts w:hint="eastAsia"/>
        </w:rPr>
        <w:t>橱柜安装应牢固，地脚调整应从地面水平最高点向最低点，或从转角向两侧调整。</w:t>
      </w:r>
    </w:p>
    <w:p>
      <w:pPr>
        <w:ind w:firstLine="316" w:firstLineChars="150"/>
      </w:pPr>
      <w:r>
        <w:rPr>
          <w:rFonts w:hint="eastAsia"/>
          <w:b/>
          <w:bCs/>
        </w:rPr>
        <w:t xml:space="preserve">2 </w:t>
      </w:r>
      <w:r>
        <w:rPr>
          <w:rFonts w:hint="eastAsia"/>
        </w:rPr>
        <w:t>采用油烟同层直排设备时，风帽应安装牢固，与外墙之间的缝隙应密封。</w:t>
      </w:r>
    </w:p>
    <w:p>
      <w:pPr>
        <w:pStyle w:val="74"/>
        <w:widowControl w:val="0"/>
        <w:ind w:firstLine="400"/>
      </w:pPr>
      <w:r>
        <w:t>【条文说明】当采用油烟同层直排设备时，风帽管道应与排烟管道有效连接。风帽不应直接固定于外墙面，以避免破坏外墙保温系统。</w:t>
      </w:r>
    </w:p>
    <w:p>
      <w:pPr>
        <w:pStyle w:val="4"/>
        <w:keepNext w:val="0"/>
        <w:keepLines w:val="0"/>
        <w:ind w:left="0"/>
        <w:rPr>
          <w:rFonts w:hAnsi="Calibri" w:cs="Calibri" w:asciiTheme="minorHAnsi"/>
        </w:rPr>
      </w:pPr>
      <w:r>
        <w:rPr>
          <w:rFonts w:hAnsi="Calibri" w:cs="Calibri" w:asciiTheme="minorHAnsi"/>
        </w:rPr>
        <w:t>部品体系宜实现已集成化为特征的成套供应，部品安装应满足干法施工的要求。全装修工程施工宜使用干法施工，并应在交接验收后进行全装修工程施工。</w:t>
      </w:r>
    </w:p>
    <w:p>
      <w:pPr>
        <w:pStyle w:val="3"/>
        <w:keepNext w:val="0"/>
        <w:keepLines w:val="0"/>
        <w:spacing w:before="120" w:after="120"/>
        <w:ind w:firstLine="482"/>
        <w:rPr>
          <w:rFonts w:hAnsi="Calibri" w:cs="Calibri" w:asciiTheme="minorHAnsi"/>
        </w:rPr>
      </w:pPr>
      <w:bookmarkStart w:id="91" w:name="_Toc24082"/>
      <w:r>
        <w:rPr>
          <w:rFonts w:hAnsi="Calibri" w:cs="Calibri" w:asciiTheme="minorHAnsi"/>
        </w:rPr>
        <w:t>混凝土浇筑</w:t>
      </w:r>
      <w:bookmarkEnd w:id="91"/>
    </w:p>
    <w:p>
      <w:pPr>
        <w:pStyle w:val="4"/>
        <w:keepNext w:val="0"/>
        <w:keepLines w:val="0"/>
        <w:ind w:left="0"/>
        <w:rPr>
          <w:rFonts w:hAnsi="Calibri" w:cs="Calibri" w:asciiTheme="minorHAnsi"/>
        </w:rPr>
      </w:pPr>
      <w:r>
        <w:rPr>
          <w:rFonts w:hAnsi="Calibri" w:cs="Calibri" w:asciiTheme="minorHAnsi"/>
        </w:rPr>
        <w:t>应验算开孔钢板组合剪力墙在混凝土浇筑过程中的承载力、变形和稳定性。</w:t>
      </w:r>
    </w:p>
    <w:p>
      <w:pPr>
        <w:pStyle w:val="4"/>
        <w:keepNext w:val="0"/>
        <w:keepLines w:val="0"/>
        <w:ind w:left="0"/>
      </w:pPr>
      <w:r>
        <w:t>通气孔设置应符合设计要求；设计无要求时，宜在距离剪力墙上边缘200mm区域内，设置直径不小于150mm的通气孔。确认浆体流出和浇筑密实后再封堵通气孔。</w:t>
      </w:r>
    </w:p>
    <w:p>
      <w:pPr>
        <w:pStyle w:val="4"/>
        <w:keepNext w:val="0"/>
        <w:keepLines w:val="0"/>
        <w:ind w:left="0"/>
      </w:pPr>
      <w:r>
        <w:t>观察口的设置应符合设计要求；设计无要求时，宜在剪力墙上部两角区域内，设置直径不小于100mm的观察口。</w:t>
      </w:r>
    </w:p>
    <w:p>
      <w:pPr>
        <w:pStyle w:val="4"/>
        <w:keepNext w:val="0"/>
        <w:keepLines w:val="0"/>
        <w:ind w:left="0"/>
        <w:rPr>
          <w:rFonts w:hAnsi="Calibri" w:cs="Calibri" w:asciiTheme="minorHAnsi"/>
        </w:rPr>
      </w:pPr>
      <w:r>
        <w:rPr>
          <w:rFonts w:hAnsi="Calibri" w:cs="Calibri" w:asciiTheme="minorHAnsi"/>
        </w:rPr>
        <w:t>混凝土浇筑应符合下列规定：</w:t>
      </w:r>
    </w:p>
    <w:p>
      <w:pPr>
        <w:ind w:firstLine="316" w:firstLineChars="150"/>
      </w:pPr>
      <w:r>
        <w:rPr>
          <w:rFonts w:hint="eastAsia"/>
          <w:b/>
          <w:bCs/>
        </w:rPr>
        <w:t xml:space="preserve">1 </w:t>
      </w:r>
      <w:r>
        <w:rPr>
          <w:rFonts w:hint="eastAsia"/>
        </w:rPr>
        <w:t>宜采用自密实混凝土浇筑。</w:t>
      </w:r>
    </w:p>
    <w:p>
      <w:pPr>
        <w:ind w:firstLine="316" w:firstLineChars="150"/>
      </w:pPr>
      <w:r>
        <w:rPr>
          <w:rFonts w:hint="eastAsia"/>
          <w:b/>
          <w:bCs/>
        </w:rPr>
        <w:t xml:space="preserve">2 </w:t>
      </w:r>
      <w:r>
        <w:rPr>
          <w:rFonts w:hint="eastAsia"/>
        </w:rPr>
        <w:t>混凝土应采取较少收缩的技术措施。</w:t>
      </w:r>
    </w:p>
    <w:p>
      <w:pPr>
        <w:ind w:firstLine="316" w:firstLineChars="150"/>
      </w:pPr>
      <w:r>
        <w:rPr>
          <w:rFonts w:hint="eastAsia"/>
          <w:b/>
          <w:bCs/>
        </w:rPr>
        <w:t xml:space="preserve">3 </w:t>
      </w:r>
      <w:r>
        <w:rPr>
          <w:rFonts w:hint="eastAsia"/>
        </w:rPr>
        <w:t>当采用粗骨料粒径不大于25mm的高流态混凝土或粗骨料粒径不大于20mm的自密实混凝土时，混凝土最大倾落高度不宜大于9m，当倾落度大于9m时，宜采用串筒、溜槽或溜管等辅助装置进行浇筑。</w:t>
      </w:r>
    </w:p>
    <w:p>
      <w:pPr>
        <w:pStyle w:val="4"/>
        <w:keepNext w:val="0"/>
        <w:keepLines w:val="0"/>
        <w:ind w:left="0"/>
        <w:rPr>
          <w:rFonts w:hAnsi="Calibri" w:cs="Calibri" w:asciiTheme="minorHAnsi"/>
        </w:rPr>
      </w:pPr>
      <w:r>
        <w:rPr>
          <w:rFonts w:hAnsi="Calibri" w:cs="Calibri" w:asciiTheme="minorHAnsi"/>
        </w:rPr>
        <w:t>混凝土的浇筑质量，可采用敲击钢板的方法进行初步检查，当有异常，可采用超声波进行检测。对浇筑不密实的部位，可采用钻孔压浆法进行补强，然后将钻孔进行补焊封固。</w:t>
      </w:r>
    </w:p>
    <w:p>
      <w:pPr>
        <w:widowControl/>
        <w:spacing w:line="240" w:lineRule="auto"/>
        <w:rPr>
          <w:rFonts w:hAnsi="Calibri" w:cs="Calibri" w:asciiTheme="minorHAnsi"/>
          <w:b/>
          <w:bCs/>
          <w:kern w:val="44"/>
          <w:sz w:val="32"/>
          <w:szCs w:val="44"/>
        </w:rPr>
      </w:pPr>
      <w:r>
        <w:rPr>
          <w:rFonts w:hAnsi="Calibri" w:cs="Calibri" w:asciiTheme="minorHAnsi"/>
        </w:rPr>
        <w:br w:type="page"/>
      </w:r>
    </w:p>
    <w:p>
      <w:pPr>
        <w:pStyle w:val="2"/>
        <w:spacing w:before="156" w:after="156"/>
        <w:ind w:firstLine="643"/>
        <w:rPr>
          <w:rFonts w:hAnsi="Calibri" w:cs="Calibri" w:asciiTheme="minorHAnsi"/>
        </w:rPr>
      </w:pPr>
      <w:bookmarkStart w:id="92" w:name="_Toc19850"/>
      <w:r>
        <w:rPr>
          <w:rFonts w:hAnsi="Calibri" w:cs="Calibri" w:asciiTheme="minorHAnsi"/>
        </w:rPr>
        <w:t>检测与验收</w:t>
      </w:r>
      <w:bookmarkEnd w:id="92"/>
    </w:p>
    <w:p>
      <w:pPr>
        <w:pStyle w:val="3"/>
        <w:keepNext w:val="0"/>
        <w:keepLines w:val="0"/>
        <w:spacing w:before="217" w:after="217"/>
        <w:ind w:firstLine="482"/>
        <w:rPr>
          <w:rFonts w:hAnsi="Calibri" w:cs="Calibri" w:asciiTheme="minorHAnsi"/>
        </w:rPr>
      </w:pPr>
      <w:bookmarkStart w:id="93" w:name="_Toc29771"/>
      <w:r>
        <w:fldChar w:fldCharType="begin"/>
      </w:r>
      <w:r>
        <w:instrText xml:space="preserve"> HYPERLINK \l "_Toc518552840"</w:instrText>
      </w:r>
      <w:r>
        <w:fldChar w:fldCharType="separate"/>
      </w:r>
      <w:bookmarkStart w:id="94" w:name="_Toc36207184"/>
      <w:r>
        <w:rPr>
          <w:rFonts w:hAnsi="Calibri" w:cs="Calibri" w:asciiTheme="minorHAnsi"/>
        </w:rPr>
        <w:t>一般规定</w:t>
      </w:r>
      <w:bookmarkEnd w:id="94"/>
      <w:r>
        <w:rPr>
          <w:rFonts w:hAnsi="Calibri" w:cs="Calibri" w:asciiTheme="minorHAnsi"/>
        </w:rPr>
        <w:fldChar w:fldCharType="end"/>
      </w:r>
      <w:bookmarkEnd w:id="93"/>
    </w:p>
    <w:p>
      <w:pPr>
        <w:pStyle w:val="4"/>
        <w:keepNext w:val="0"/>
        <w:keepLines w:val="0"/>
        <w:ind w:left="0"/>
        <w:rPr>
          <w:rFonts w:hAnsi="Calibri" w:cs="Calibri" w:asciiTheme="minorHAnsi"/>
        </w:rPr>
      </w:pPr>
      <w:r>
        <w:rPr>
          <w:rFonts w:hAnsi="Calibri" w:cs="Calibri" w:asciiTheme="minorHAnsi"/>
        </w:rPr>
        <w:t>本章所指检测为在建装配式开孔钢板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住宅建筑施工质量检测。</w:t>
      </w:r>
    </w:p>
    <w:p>
      <w:pPr>
        <w:pStyle w:val="74"/>
        <w:widowControl w:val="0"/>
        <w:ind w:firstLine="400"/>
      </w:pPr>
      <w:r>
        <w:t>【条文说明】检测分为既有建筑工程可靠性检测与在建建筑工程施工质量检测，本章所指检测为在建建筑工程施工质量检测。</w:t>
      </w:r>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住宅建筑检测，应由具有相应检测资质的单位进行，检测人员必须是经过培训上岗的检测机构的工作人员。</w:t>
      </w:r>
    </w:p>
    <w:p>
      <w:pPr>
        <w:pStyle w:val="74"/>
        <w:widowControl w:val="0"/>
        <w:ind w:firstLine="400"/>
      </w:pPr>
      <w:r>
        <w:t>【条文说明】对检测单位的资质、检测所用仪器设备、实时检测的检测人员提出要求。</w:t>
      </w:r>
    </w:p>
    <w:p>
      <w:pPr>
        <w:pStyle w:val="4"/>
        <w:keepNext w:val="0"/>
        <w:keepLines w:val="0"/>
        <w:ind w:left="0"/>
        <w:rPr>
          <w:rFonts w:hAnsi="Calibri" w:cs="Calibri" w:asciiTheme="minorHAnsi"/>
        </w:rPr>
      </w:pPr>
      <w:r>
        <w:rPr>
          <w:rFonts w:hAnsi="Calibri" w:cs="Calibri" w:asciiTheme="minorHAnsi"/>
        </w:rPr>
        <w:t>检测工作，应由不少于两名检测技术人员承担。</w:t>
      </w:r>
    </w:p>
    <w:p>
      <w:pPr>
        <w:pStyle w:val="74"/>
        <w:widowControl w:val="0"/>
        <w:ind w:firstLine="400"/>
      </w:pPr>
      <w:r>
        <w:t>【条文说明】现场检测工作的最少人数不少于两名检测技术人员，减少检测人为影响因素。</w:t>
      </w:r>
    </w:p>
    <w:p>
      <w:pPr>
        <w:pStyle w:val="4"/>
        <w:keepNext w:val="0"/>
        <w:keepLines w:val="0"/>
        <w:ind w:left="0"/>
      </w:pPr>
      <w:r>
        <w:t>装配式开孔钢板</w:t>
      </w:r>
      <w:r>
        <w:rPr>
          <w:rFonts w:hint="eastAsia" w:hAnsi="Calibri" w:cs="Calibri" w:asciiTheme="minorHAnsi"/>
        </w:rPr>
        <w:t>组合</w:t>
      </w:r>
      <w:r>
        <w:t>剪力墙结构住宅建筑工程质量检测时的组批、抽样及质量标准应符合现行国家标准《钢结构工程施工质量验收规范》GB 50205的规定。</w:t>
      </w:r>
    </w:p>
    <w:p>
      <w:pPr>
        <w:pStyle w:val="74"/>
        <w:widowControl w:val="0"/>
        <w:ind w:firstLine="400"/>
      </w:pPr>
      <w:r>
        <w:t>【条文说明】装配式开孔钢板</w:t>
      </w:r>
      <w:r>
        <w:rPr>
          <w:rFonts w:hint="eastAsia" w:hAnsi="Calibri" w:cs="Calibri" w:asciiTheme="minorHAnsi"/>
        </w:rPr>
        <w:t>组合</w:t>
      </w:r>
      <w:r>
        <w:t>剪力墙</w:t>
      </w:r>
      <w:r>
        <w:rPr>
          <w:rFonts w:hint="eastAsia"/>
        </w:rPr>
        <w:t>结构</w:t>
      </w:r>
      <w:r>
        <w:t>住宅建筑检测，应按现行国家标准《钢结构工程施工质量验收规范》GB 50205的规定进行检测，当质量不合格时，必须将检测数据作为检测报告的一部分提交委托方。</w:t>
      </w:r>
    </w:p>
    <w:p>
      <w:pPr>
        <w:pStyle w:val="4"/>
        <w:keepNext w:val="0"/>
        <w:keepLines w:val="0"/>
        <w:ind w:left="0"/>
      </w:pPr>
      <w:r>
        <w:t>装配式开孔钢板</w:t>
      </w:r>
      <w:r>
        <w:rPr>
          <w:rFonts w:hint="eastAsia" w:hAnsi="Calibri" w:cs="Calibri" w:asciiTheme="minorHAnsi"/>
        </w:rPr>
        <w:t>组合</w:t>
      </w:r>
      <w:r>
        <w:t>剪力墙结构住宅建筑的验收应符合现行国家标准《建筑工程施工质量验收统一标准》GB 50300的规定。当国家现行标准对工程中的验收项目未作具体规定时，应由建设单位组织设计、施工、监理等相关单位制定验收要求。</w:t>
      </w:r>
    </w:p>
    <w:p>
      <w:pPr>
        <w:pStyle w:val="4"/>
        <w:keepNext w:val="0"/>
        <w:keepLines w:val="0"/>
        <w:ind w:left="0"/>
      </w:pPr>
      <w:r>
        <w:t>装配式开孔钢板</w:t>
      </w:r>
      <w:r>
        <w:rPr>
          <w:rFonts w:hint="eastAsia" w:hAnsi="Calibri" w:cs="Calibri" w:asciiTheme="minorHAnsi"/>
        </w:rPr>
        <w:t>组合</w:t>
      </w:r>
      <w:r>
        <w:t>剪力墙住宅建筑工程质量验收的分部工程应按表10.1.6划分，相应的分项工程和检验批应按表10.1.6所列标准确定。</w:t>
      </w:r>
    </w:p>
    <w:p>
      <w:pPr>
        <w:pStyle w:val="71"/>
        <w:ind w:firstLine="361"/>
      </w:pPr>
      <w:r>
        <w:t>表10.1.6钢结构住宅分部工程划分及验收标准</w:t>
      </w:r>
    </w:p>
    <w:tbl>
      <w:tblPr>
        <w:tblStyle w:val="43"/>
        <w:tblW w:w="88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862"/>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序号</w:t>
            </w:r>
          </w:p>
        </w:tc>
        <w:tc>
          <w:tcPr>
            <w:tcW w:w="1862" w:type="dxa"/>
            <w:tcBorders>
              <w:tl2br w:val="nil"/>
              <w:tr2bl w:val="nil"/>
            </w:tcBorders>
            <w:shd w:val="clear" w:color="auto" w:fill="auto"/>
            <w:vAlign w:val="center"/>
          </w:tcPr>
          <w:p>
            <w:pPr>
              <w:pStyle w:val="72"/>
              <w:ind w:firstLine="0" w:firstLineChars="0"/>
            </w:pPr>
            <w:r>
              <w:t>分部工程</w:t>
            </w:r>
          </w:p>
        </w:tc>
        <w:tc>
          <w:tcPr>
            <w:tcW w:w="6170" w:type="dxa"/>
            <w:tcBorders>
              <w:tl2br w:val="nil"/>
              <w:tr2bl w:val="nil"/>
            </w:tcBorders>
            <w:shd w:val="clear" w:color="auto" w:fill="auto"/>
            <w:vAlign w:val="center"/>
          </w:tcPr>
          <w:p>
            <w:pPr>
              <w:pStyle w:val="72"/>
              <w:ind w:firstLine="360"/>
            </w:pPr>
            <w:r>
              <w:t>执行的主要质量验收标准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1</w:t>
            </w:r>
          </w:p>
        </w:tc>
        <w:tc>
          <w:tcPr>
            <w:tcW w:w="1862" w:type="dxa"/>
            <w:tcBorders>
              <w:tl2br w:val="nil"/>
              <w:tr2bl w:val="nil"/>
            </w:tcBorders>
            <w:shd w:val="clear" w:color="auto" w:fill="auto"/>
            <w:vAlign w:val="center"/>
          </w:tcPr>
          <w:p>
            <w:pPr>
              <w:pStyle w:val="72"/>
              <w:ind w:firstLine="0" w:firstLineChars="0"/>
            </w:pPr>
            <w:r>
              <w:t>地基与基础</w:t>
            </w:r>
          </w:p>
        </w:tc>
        <w:tc>
          <w:tcPr>
            <w:tcW w:w="6170" w:type="dxa"/>
            <w:tcBorders>
              <w:tl2br w:val="nil"/>
              <w:tr2bl w:val="nil"/>
            </w:tcBorders>
            <w:shd w:val="clear" w:color="auto" w:fill="auto"/>
            <w:vAlign w:val="center"/>
          </w:tcPr>
          <w:p>
            <w:pPr>
              <w:pStyle w:val="72"/>
              <w:ind w:firstLine="0" w:firstLineChars="0"/>
              <w:jc w:val="left"/>
            </w:pPr>
            <w:r>
              <w:t>《建筑地基基础工程施工质量验收标准》GB 50202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82" w:type="dxa"/>
            <w:tcBorders>
              <w:tl2br w:val="nil"/>
              <w:tr2bl w:val="nil"/>
            </w:tcBorders>
            <w:shd w:val="clear" w:color="auto" w:fill="auto"/>
            <w:vAlign w:val="center"/>
          </w:tcPr>
          <w:p>
            <w:pPr>
              <w:pStyle w:val="72"/>
              <w:ind w:firstLine="0" w:firstLineChars="0"/>
            </w:pPr>
            <w:r>
              <w:t>2</w:t>
            </w:r>
          </w:p>
        </w:tc>
        <w:tc>
          <w:tcPr>
            <w:tcW w:w="1862" w:type="dxa"/>
            <w:tcBorders>
              <w:tl2br w:val="nil"/>
              <w:tr2bl w:val="nil"/>
            </w:tcBorders>
            <w:shd w:val="clear" w:color="auto" w:fill="auto"/>
            <w:vAlign w:val="center"/>
          </w:tcPr>
          <w:p>
            <w:pPr>
              <w:pStyle w:val="72"/>
              <w:ind w:firstLine="0" w:firstLineChars="0"/>
            </w:pPr>
            <w:r>
              <w:t>主体结构</w:t>
            </w:r>
          </w:p>
        </w:tc>
        <w:tc>
          <w:tcPr>
            <w:tcW w:w="6170" w:type="dxa"/>
            <w:tcBorders>
              <w:tl2br w:val="nil"/>
              <w:tr2bl w:val="nil"/>
            </w:tcBorders>
            <w:shd w:val="clear" w:color="auto" w:fill="auto"/>
            <w:vAlign w:val="center"/>
          </w:tcPr>
          <w:p>
            <w:pPr>
              <w:pStyle w:val="72"/>
              <w:ind w:firstLine="0" w:firstLineChars="0"/>
              <w:jc w:val="left"/>
            </w:pPr>
            <w:r>
              <w:t>《钢结构工程施工质量验收规范》GB 50205</w:t>
            </w:r>
          </w:p>
          <w:p>
            <w:pPr>
              <w:pStyle w:val="72"/>
              <w:ind w:firstLine="0" w:firstLineChars="0"/>
              <w:jc w:val="left"/>
            </w:pPr>
            <w:r>
              <w:t>《钢管混凝土工程施工质量验收规范》GB 50628</w:t>
            </w:r>
          </w:p>
          <w:p>
            <w:pPr>
              <w:pStyle w:val="72"/>
              <w:ind w:firstLine="0" w:firstLineChars="0"/>
              <w:jc w:val="left"/>
            </w:pPr>
            <w:r>
              <w:t>《混凝土结构工程施工质量验收规范》GB 50204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3</w:t>
            </w:r>
          </w:p>
        </w:tc>
        <w:tc>
          <w:tcPr>
            <w:tcW w:w="1862" w:type="dxa"/>
            <w:tcBorders>
              <w:tl2br w:val="nil"/>
              <w:tr2bl w:val="nil"/>
            </w:tcBorders>
            <w:shd w:val="clear" w:color="auto" w:fill="auto"/>
            <w:vAlign w:val="center"/>
          </w:tcPr>
          <w:p>
            <w:pPr>
              <w:pStyle w:val="72"/>
              <w:ind w:firstLine="0" w:firstLineChars="0"/>
            </w:pPr>
            <w:r>
              <w:t>建筑装饰装修</w:t>
            </w:r>
          </w:p>
        </w:tc>
        <w:tc>
          <w:tcPr>
            <w:tcW w:w="6170" w:type="dxa"/>
            <w:tcBorders>
              <w:tl2br w:val="nil"/>
              <w:tr2bl w:val="nil"/>
            </w:tcBorders>
            <w:shd w:val="clear" w:color="auto" w:fill="auto"/>
            <w:vAlign w:val="center"/>
          </w:tcPr>
          <w:p>
            <w:pPr>
              <w:pStyle w:val="72"/>
              <w:ind w:firstLine="0" w:firstLineChars="0"/>
              <w:jc w:val="left"/>
            </w:pPr>
            <w:r>
              <w:t>《建筑装饰装修工程质量验收规范》GB 50210</w:t>
            </w:r>
          </w:p>
          <w:p>
            <w:pPr>
              <w:pStyle w:val="72"/>
              <w:ind w:firstLine="0" w:firstLineChars="0"/>
              <w:jc w:val="left"/>
            </w:pPr>
            <w:r>
              <w:t>《住宅室内装饰装修工程质量验收规范》JGJ/T 304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82" w:type="dxa"/>
            <w:tcBorders>
              <w:tl2br w:val="nil"/>
              <w:tr2bl w:val="nil"/>
            </w:tcBorders>
            <w:shd w:val="clear" w:color="auto" w:fill="auto"/>
            <w:vAlign w:val="center"/>
          </w:tcPr>
          <w:p>
            <w:pPr>
              <w:pStyle w:val="72"/>
              <w:ind w:firstLine="0" w:firstLineChars="0"/>
            </w:pPr>
            <w:r>
              <w:t>4</w:t>
            </w:r>
          </w:p>
        </w:tc>
        <w:tc>
          <w:tcPr>
            <w:tcW w:w="1862" w:type="dxa"/>
            <w:tcBorders>
              <w:tl2br w:val="nil"/>
              <w:tr2bl w:val="nil"/>
            </w:tcBorders>
            <w:shd w:val="clear" w:color="auto" w:fill="auto"/>
            <w:vAlign w:val="center"/>
          </w:tcPr>
          <w:p>
            <w:pPr>
              <w:pStyle w:val="72"/>
              <w:ind w:firstLine="0" w:firstLineChars="0"/>
            </w:pPr>
            <w:r>
              <w:t>屋面及围护系统</w:t>
            </w:r>
          </w:p>
        </w:tc>
        <w:tc>
          <w:tcPr>
            <w:tcW w:w="6170" w:type="dxa"/>
            <w:tcBorders>
              <w:tl2br w:val="nil"/>
              <w:tr2bl w:val="nil"/>
            </w:tcBorders>
            <w:shd w:val="clear" w:color="auto" w:fill="auto"/>
            <w:vAlign w:val="center"/>
          </w:tcPr>
          <w:p>
            <w:pPr>
              <w:pStyle w:val="72"/>
              <w:ind w:firstLine="0" w:firstLineChars="0"/>
              <w:jc w:val="left"/>
            </w:pPr>
            <w:r>
              <w:t>《屋面工程质量验收标准》GB 50207</w:t>
            </w:r>
          </w:p>
          <w:p>
            <w:pPr>
              <w:pStyle w:val="72"/>
              <w:ind w:firstLine="0" w:firstLineChars="0"/>
              <w:jc w:val="left"/>
            </w:pPr>
            <w:r>
              <w:t>《墙体材料应用统一技术规范》GB 50574</w:t>
            </w:r>
          </w:p>
          <w:p>
            <w:pPr>
              <w:pStyle w:val="72"/>
              <w:ind w:firstLine="0" w:firstLineChars="0"/>
              <w:jc w:val="left"/>
            </w:pPr>
            <w:r>
              <w:t>经评审备案的企业产品及其技术标准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82" w:type="dxa"/>
            <w:tcBorders>
              <w:tl2br w:val="nil"/>
              <w:tr2bl w:val="nil"/>
            </w:tcBorders>
            <w:shd w:val="clear" w:color="auto" w:fill="auto"/>
            <w:vAlign w:val="center"/>
          </w:tcPr>
          <w:p>
            <w:pPr>
              <w:pStyle w:val="72"/>
              <w:ind w:firstLine="0" w:firstLineChars="0"/>
            </w:pPr>
            <w:r>
              <w:t>5</w:t>
            </w:r>
          </w:p>
        </w:tc>
        <w:tc>
          <w:tcPr>
            <w:tcW w:w="1862" w:type="dxa"/>
            <w:tcBorders>
              <w:tl2br w:val="nil"/>
              <w:tr2bl w:val="nil"/>
            </w:tcBorders>
            <w:shd w:val="clear" w:color="auto" w:fill="auto"/>
            <w:vAlign w:val="center"/>
          </w:tcPr>
          <w:p>
            <w:pPr>
              <w:pStyle w:val="72"/>
              <w:ind w:firstLine="0" w:firstLineChars="0"/>
            </w:pPr>
            <w:r>
              <w:t>建筑给排水及采暖</w:t>
            </w:r>
          </w:p>
        </w:tc>
        <w:tc>
          <w:tcPr>
            <w:tcW w:w="6170" w:type="dxa"/>
            <w:tcBorders>
              <w:tl2br w:val="nil"/>
              <w:tr2bl w:val="nil"/>
            </w:tcBorders>
            <w:shd w:val="clear" w:color="auto" w:fill="auto"/>
            <w:vAlign w:val="center"/>
          </w:tcPr>
          <w:p>
            <w:pPr>
              <w:pStyle w:val="72"/>
              <w:ind w:firstLine="0" w:firstLineChars="0"/>
              <w:jc w:val="left"/>
            </w:pPr>
            <w:r>
              <w:t>《建筑给水排水及采暖工程施工质量验收规范》GB 50242</w:t>
            </w:r>
          </w:p>
          <w:p>
            <w:pPr>
              <w:pStyle w:val="72"/>
              <w:ind w:firstLine="0" w:firstLineChars="0"/>
              <w:jc w:val="left"/>
            </w:pPr>
            <w:r>
              <w:t>《通风与空调工程施工质量验收规范》GB 50243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6</w:t>
            </w:r>
          </w:p>
        </w:tc>
        <w:tc>
          <w:tcPr>
            <w:tcW w:w="1862" w:type="dxa"/>
            <w:tcBorders>
              <w:tl2br w:val="nil"/>
              <w:tr2bl w:val="nil"/>
            </w:tcBorders>
            <w:shd w:val="clear" w:color="auto" w:fill="auto"/>
            <w:vAlign w:val="center"/>
          </w:tcPr>
          <w:p>
            <w:pPr>
              <w:pStyle w:val="72"/>
              <w:ind w:firstLine="0" w:firstLineChars="0"/>
            </w:pPr>
            <w:r>
              <w:t>通风与空调</w:t>
            </w:r>
          </w:p>
        </w:tc>
        <w:tc>
          <w:tcPr>
            <w:tcW w:w="6170" w:type="dxa"/>
            <w:tcBorders>
              <w:tl2br w:val="nil"/>
              <w:tr2bl w:val="nil"/>
            </w:tcBorders>
            <w:shd w:val="clear" w:color="auto" w:fill="auto"/>
            <w:vAlign w:val="center"/>
          </w:tcPr>
          <w:p>
            <w:pPr>
              <w:pStyle w:val="72"/>
              <w:ind w:firstLine="0" w:firstLineChars="0"/>
              <w:jc w:val="left"/>
            </w:pPr>
            <w:r>
              <w:t>《通风与空调工程施工质量验收规范》GB 50243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7</w:t>
            </w:r>
          </w:p>
        </w:tc>
        <w:tc>
          <w:tcPr>
            <w:tcW w:w="1862" w:type="dxa"/>
            <w:tcBorders>
              <w:tl2br w:val="nil"/>
              <w:tr2bl w:val="nil"/>
            </w:tcBorders>
            <w:shd w:val="clear" w:color="auto" w:fill="auto"/>
            <w:vAlign w:val="center"/>
          </w:tcPr>
          <w:p>
            <w:pPr>
              <w:pStyle w:val="72"/>
              <w:ind w:firstLine="0" w:firstLineChars="0"/>
            </w:pPr>
            <w:r>
              <w:t>建筑电气</w:t>
            </w:r>
          </w:p>
        </w:tc>
        <w:tc>
          <w:tcPr>
            <w:tcW w:w="6170" w:type="dxa"/>
            <w:tcBorders>
              <w:tl2br w:val="nil"/>
              <w:tr2bl w:val="nil"/>
            </w:tcBorders>
            <w:shd w:val="clear" w:color="auto" w:fill="auto"/>
            <w:vAlign w:val="center"/>
          </w:tcPr>
          <w:p>
            <w:pPr>
              <w:pStyle w:val="72"/>
              <w:ind w:firstLine="0" w:firstLineChars="0"/>
              <w:jc w:val="left"/>
            </w:pPr>
            <w:r>
              <w:t>《建筑电气工程施工质量验收规范》GB 50303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8</w:t>
            </w:r>
          </w:p>
        </w:tc>
        <w:tc>
          <w:tcPr>
            <w:tcW w:w="1862" w:type="dxa"/>
            <w:tcBorders>
              <w:tl2br w:val="nil"/>
              <w:tr2bl w:val="nil"/>
            </w:tcBorders>
            <w:shd w:val="clear" w:color="auto" w:fill="auto"/>
            <w:vAlign w:val="center"/>
          </w:tcPr>
          <w:p>
            <w:pPr>
              <w:pStyle w:val="72"/>
              <w:ind w:firstLine="0" w:firstLineChars="0"/>
            </w:pPr>
            <w:r>
              <w:t>智能建筑</w:t>
            </w:r>
          </w:p>
        </w:tc>
        <w:tc>
          <w:tcPr>
            <w:tcW w:w="6170" w:type="dxa"/>
            <w:tcBorders>
              <w:tl2br w:val="nil"/>
              <w:tr2bl w:val="nil"/>
            </w:tcBorders>
            <w:shd w:val="clear" w:color="auto" w:fill="auto"/>
            <w:vAlign w:val="center"/>
          </w:tcPr>
          <w:p>
            <w:pPr>
              <w:pStyle w:val="72"/>
              <w:ind w:firstLine="0" w:firstLineChars="0"/>
              <w:jc w:val="left"/>
            </w:pPr>
            <w:r>
              <w:t>《智能建筑工程质量验收规范》GB 50339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2" w:type="dxa"/>
            <w:tcBorders>
              <w:tl2br w:val="nil"/>
              <w:tr2bl w:val="nil"/>
            </w:tcBorders>
            <w:shd w:val="clear" w:color="auto" w:fill="auto"/>
            <w:vAlign w:val="center"/>
          </w:tcPr>
          <w:p>
            <w:pPr>
              <w:pStyle w:val="72"/>
              <w:ind w:firstLine="0" w:firstLineChars="0"/>
            </w:pPr>
            <w:r>
              <w:t>9</w:t>
            </w:r>
          </w:p>
        </w:tc>
        <w:tc>
          <w:tcPr>
            <w:tcW w:w="1862" w:type="dxa"/>
            <w:tcBorders>
              <w:tl2br w:val="nil"/>
              <w:tr2bl w:val="nil"/>
            </w:tcBorders>
            <w:shd w:val="clear" w:color="auto" w:fill="auto"/>
            <w:vAlign w:val="center"/>
          </w:tcPr>
          <w:p>
            <w:pPr>
              <w:pStyle w:val="72"/>
              <w:ind w:firstLine="0" w:firstLineChars="0"/>
            </w:pPr>
            <w:r>
              <w:t>建筑节能</w:t>
            </w:r>
          </w:p>
        </w:tc>
        <w:tc>
          <w:tcPr>
            <w:tcW w:w="6170" w:type="dxa"/>
            <w:tcBorders>
              <w:tl2br w:val="nil"/>
              <w:tr2bl w:val="nil"/>
            </w:tcBorders>
            <w:shd w:val="clear" w:color="auto" w:fill="auto"/>
            <w:vAlign w:val="center"/>
          </w:tcPr>
          <w:p>
            <w:pPr>
              <w:pStyle w:val="72"/>
              <w:ind w:firstLine="0" w:firstLineChars="0"/>
              <w:jc w:val="left"/>
            </w:pPr>
            <w:r>
              <w:t>《建筑节能工程施工质量验收标准》GB 50411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82" w:type="dxa"/>
            <w:tcBorders>
              <w:tl2br w:val="nil"/>
              <w:tr2bl w:val="nil"/>
            </w:tcBorders>
            <w:shd w:val="clear" w:color="auto" w:fill="auto"/>
            <w:vAlign w:val="center"/>
          </w:tcPr>
          <w:p>
            <w:pPr>
              <w:pStyle w:val="72"/>
              <w:ind w:firstLine="0" w:firstLineChars="0"/>
            </w:pPr>
            <w:r>
              <w:t>10</w:t>
            </w:r>
          </w:p>
        </w:tc>
        <w:tc>
          <w:tcPr>
            <w:tcW w:w="1862" w:type="dxa"/>
            <w:tcBorders>
              <w:tl2br w:val="nil"/>
              <w:tr2bl w:val="nil"/>
            </w:tcBorders>
            <w:shd w:val="clear" w:color="auto" w:fill="auto"/>
            <w:vAlign w:val="center"/>
          </w:tcPr>
          <w:p>
            <w:pPr>
              <w:pStyle w:val="72"/>
              <w:ind w:firstLine="0" w:firstLineChars="0"/>
            </w:pPr>
            <w:r>
              <w:t>电梯</w:t>
            </w:r>
          </w:p>
        </w:tc>
        <w:tc>
          <w:tcPr>
            <w:tcW w:w="6170" w:type="dxa"/>
            <w:tcBorders>
              <w:tl2br w:val="nil"/>
              <w:tr2bl w:val="nil"/>
            </w:tcBorders>
            <w:shd w:val="clear" w:color="auto" w:fill="auto"/>
            <w:vAlign w:val="center"/>
          </w:tcPr>
          <w:p>
            <w:pPr>
              <w:pStyle w:val="72"/>
              <w:ind w:firstLine="0" w:firstLineChars="0"/>
              <w:jc w:val="left"/>
            </w:pPr>
            <w:r>
              <w:t>《电梯工程施工质量验收规范》GB 50310</w:t>
            </w:r>
          </w:p>
        </w:tc>
      </w:tr>
    </w:tbl>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住宅建筑的验收应分为构件或部品的进场验收、现场安装验收、单位工程竣工验收三个部分。</w:t>
      </w:r>
    </w:p>
    <w:p>
      <w:pPr>
        <w:pStyle w:val="4"/>
        <w:keepNext w:val="0"/>
        <w:keepLines w:val="0"/>
        <w:ind w:left="0"/>
        <w:rPr>
          <w:rFonts w:hAnsi="Calibri" w:cs="Calibri" w:asciiTheme="minorHAnsi"/>
        </w:rPr>
      </w:pPr>
      <w:r>
        <w:rPr>
          <w:rFonts w:hAnsi="Calibri" w:cs="Calibri" w:asciiTheme="minorHAnsi"/>
        </w:rPr>
        <w:t>同一厂家生产的同批材料、部品，用于同期施工且属于同一工程项目的多个单位工程，可合并进行进场验收。</w:t>
      </w:r>
    </w:p>
    <w:p>
      <w:pPr>
        <w:pStyle w:val="4"/>
        <w:keepNext w:val="0"/>
        <w:keepLines w:val="0"/>
        <w:ind w:left="0"/>
        <w:rPr>
          <w:rFonts w:hAnsi="Calibri" w:cs="Calibri" w:asciiTheme="minorHAnsi"/>
        </w:rPr>
      </w:pPr>
      <w:r>
        <w:rPr>
          <w:rFonts w:hAnsi="Calibri" w:cs="Calibri" w:asciiTheme="minorHAnsi"/>
        </w:rPr>
        <w:t>部品部件进场验收合格后才能使用，施工单位组织有关人员进行预验收，预验收合格后报现场监理工程师验收。</w:t>
      </w:r>
    </w:p>
    <w:p>
      <w:pPr>
        <w:pStyle w:val="4"/>
        <w:keepNext w:val="0"/>
        <w:keepLines w:val="0"/>
        <w:ind w:left="0"/>
        <w:rPr>
          <w:rFonts w:hAnsi="Calibri" w:cs="Calibri" w:asciiTheme="minorHAnsi"/>
          <w:b/>
        </w:rPr>
      </w:pPr>
      <w:r>
        <w:rPr>
          <w:rFonts w:hAnsi="Calibri" w:cs="Calibri" w:asciiTheme="minorHAnsi"/>
        </w:rPr>
        <w:t>构件及部品部件进场验收应包括下列内容：</w:t>
      </w:r>
    </w:p>
    <w:p>
      <w:pPr>
        <w:ind w:firstLine="422"/>
      </w:pPr>
      <w:r>
        <w:rPr>
          <w:b/>
          <w:bCs/>
        </w:rPr>
        <w:t>1</w:t>
      </w:r>
      <w:r>
        <w:t>工程设计文件、构件制作深化设计图。</w:t>
      </w:r>
    </w:p>
    <w:p>
      <w:pPr>
        <w:ind w:firstLine="422"/>
      </w:pPr>
      <w:r>
        <w:rPr>
          <w:b/>
          <w:bCs/>
        </w:rPr>
        <w:t>2</w:t>
      </w:r>
      <w:r>
        <w:t>构件出厂合格证、焊接检测报告、制作构件的原材料质量保证书、检测报告等。</w:t>
      </w:r>
    </w:p>
    <w:p>
      <w:pPr>
        <w:ind w:firstLine="422"/>
      </w:pPr>
      <w:r>
        <w:rPr>
          <w:b/>
          <w:bCs/>
        </w:rPr>
        <w:t>3</w:t>
      </w:r>
      <w:r>
        <w:t>部品部件的产品标准、出厂检验合格证、质量保证书和使用说明文件书。</w:t>
      </w:r>
    </w:p>
    <w:p>
      <w:pPr>
        <w:pStyle w:val="4"/>
        <w:keepNext w:val="0"/>
        <w:keepLines w:val="0"/>
        <w:ind w:left="0"/>
        <w:rPr>
          <w:rFonts w:hAnsi="Calibri" w:cs="Calibri" w:asciiTheme="minorHAnsi"/>
        </w:rPr>
      </w:pPr>
      <w:r>
        <w:rPr>
          <w:rFonts w:hAnsi="Calibri" w:cs="Calibri" w:asciiTheme="minorHAnsi"/>
        </w:rPr>
        <w:t>构件及部品部件安装验收应包括下列内容：</w:t>
      </w:r>
    </w:p>
    <w:p>
      <w:pPr>
        <w:ind w:firstLine="422"/>
      </w:pPr>
      <w:r>
        <w:rPr>
          <w:b/>
          <w:bCs/>
        </w:rPr>
        <w:t>1</w:t>
      </w:r>
      <w:r>
        <w:t>工程设计文件、构件安装的深化设计图。</w:t>
      </w:r>
    </w:p>
    <w:p>
      <w:pPr>
        <w:ind w:firstLine="422"/>
      </w:pPr>
      <w:r>
        <w:rPr>
          <w:b/>
          <w:bCs/>
        </w:rPr>
        <w:t>2</w:t>
      </w:r>
      <w:r>
        <w:t>装配式建筑施工分项工程质量验收文件。</w:t>
      </w:r>
    </w:p>
    <w:p>
      <w:pPr>
        <w:ind w:firstLine="422"/>
      </w:pPr>
      <w:r>
        <w:rPr>
          <w:b/>
          <w:bCs/>
        </w:rPr>
        <w:t>3</w:t>
      </w:r>
      <w:r>
        <w:t>构件或部品部件的安装施工记录。</w:t>
      </w:r>
    </w:p>
    <w:p>
      <w:pPr>
        <w:pStyle w:val="4"/>
        <w:keepNext w:val="0"/>
        <w:keepLines w:val="0"/>
        <w:ind w:left="0"/>
      </w:pPr>
      <w:r>
        <w:t>单位工程质量验收应按现行国家标准《建筑工程施工质量验收统一标准》GB 50300的规定执行，单位（子单位）工程质量验收合格应符合下列规定：</w:t>
      </w:r>
    </w:p>
    <w:p>
      <w:pPr>
        <w:ind w:firstLine="422"/>
      </w:pPr>
      <w:r>
        <w:rPr>
          <w:b/>
          <w:bCs/>
        </w:rPr>
        <w:t>1</w:t>
      </w:r>
      <w:r>
        <w:t>所含分部（子分部）工程的质量均应验收合格。</w:t>
      </w:r>
    </w:p>
    <w:p>
      <w:pPr>
        <w:ind w:firstLine="422"/>
      </w:pPr>
      <w:r>
        <w:rPr>
          <w:b/>
          <w:bCs/>
        </w:rPr>
        <w:t>2</w:t>
      </w:r>
      <w:r>
        <w:t>质量控制资料应完整。</w:t>
      </w:r>
    </w:p>
    <w:p>
      <w:pPr>
        <w:ind w:firstLine="422"/>
      </w:pPr>
      <w:r>
        <w:rPr>
          <w:b/>
          <w:bCs/>
        </w:rPr>
        <w:t>3</w:t>
      </w:r>
      <w:r>
        <w:t>所含分部工程中有关安全、节能、环境保护和主要使用功能的检验资料应完整。</w:t>
      </w:r>
    </w:p>
    <w:p>
      <w:pPr>
        <w:ind w:firstLine="422"/>
      </w:pPr>
      <w:r>
        <w:rPr>
          <w:b/>
          <w:bCs/>
        </w:rPr>
        <w:t>4</w:t>
      </w:r>
      <w:r>
        <w:t>主要使用功能的抽查结果应符合相关专业验收规范的规定。</w:t>
      </w:r>
    </w:p>
    <w:p>
      <w:pPr>
        <w:ind w:firstLine="422"/>
      </w:pPr>
      <w:r>
        <w:rPr>
          <w:b/>
          <w:bCs/>
        </w:rPr>
        <w:t>5</w:t>
      </w:r>
      <w:r>
        <w:t>观感质量应符合要求。</w:t>
      </w:r>
    </w:p>
    <w:p>
      <w:pPr>
        <w:pStyle w:val="3"/>
        <w:keepNext w:val="0"/>
        <w:keepLines w:val="0"/>
        <w:spacing w:before="217" w:after="217"/>
        <w:ind w:firstLine="482"/>
        <w:rPr>
          <w:rFonts w:hAnsi="Calibri" w:cs="Calibri" w:asciiTheme="minorHAnsi"/>
        </w:rPr>
      </w:pPr>
      <w:bookmarkStart w:id="95" w:name="_Toc13882"/>
      <w:r>
        <w:fldChar w:fldCharType="begin"/>
      </w:r>
      <w:r>
        <w:instrText xml:space="preserve"> HYPERLINK \l "_Toc518552840"</w:instrText>
      </w:r>
      <w:r>
        <w:fldChar w:fldCharType="separate"/>
      </w:r>
      <w:bookmarkStart w:id="96" w:name="_Toc36207185"/>
      <w:r>
        <w:rPr>
          <w:rFonts w:hAnsi="Calibri" w:cs="Calibri" w:asciiTheme="minorHAnsi"/>
        </w:rPr>
        <w:t>结构验收</w:t>
      </w:r>
      <w:bookmarkEnd w:id="96"/>
      <w:r>
        <w:rPr>
          <w:rFonts w:hAnsi="Calibri" w:cs="Calibri" w:asciiTheme="minorHAnsi"/>
        </w:rPr>
        <w:fldChar w:fldCharType="end"/>
      </w:r>
      <w:bookmarkEnd w:id="95"/>
    </w:p>
    <w:p>
      <w:pPr>
        <w:pStyle w:val="4"/>
        <w:keepNext w:val="0"/>
        <w:keepLines w:val="0"/>
        <w:ind w:left="0"/>
      </w:pPr>
      <w:r>
        <w:t>装配式开孔钢板</w:t>
      </w:r>
      <w:r>
        <w:rPr>
          <w:rFonts w:hint="eastAsia" w:hAnsi="Calibri" w:cs="Calibri" w:asciiTheme="minorHAnsi"/>
        </w:rPr>
        <w:t>组合</w:t>
      </w:r>
      <w:r>
        <w:t>剪力墙结构的施工质量要求和验收标准应按现行国家标准《钢结构工程施工质量验收规范》GB 50205、《混凝土结构工程施工质量验收规范》GB 50204的有关规定执行。</w:t>
      </w:r>
    </w:p>
    <w:p>
      <w:pPr>
        <w:pStyle w:val="74"/>
        <w:widowControl w:val="0"/>
        <w:ind w:firstLine="400"/>
      </w:pPr>
      <w:r>
        <w:t>【条文说明】装配式开孔钢板</w:t>
      </w:r>
      <w:r>
        <w:rPr>
          <w:rFonts w:hint="eastAsia" w:hAnsi="Calibri" w:cs="Calibri" w:asciiTheme="minorHAnsi"/>
        </w:rPr>
        <w:t>组合</w:t>
      </w:r>
      <w:r>
        <w:t>剪力墙结构，可能会用到钢-混凝土组合梁、钢-混凝土组合剪力墙、压型钢板组合楼板、钢筋桁架楼承板等，因此也要做好这些构件的验收。</w:t>
      </w:r>
    </w:p>
    <w:p>
      <w:pPr>
        <w:pStyle w:val="4"/>
        <w:keepNext w:val="0"/>
        <w:keepLines w:val="0"/>
        <w:ind w:left="0"/>
      </w:pPr>
      <w:r>
        <w:t>主体结构分部应按表10.2.2进行子分部、分项工程验收。</w:t>
      </w:r>
    </w:p>
    <w:p>
      <w:pPr>
        <w:pStyle w:val="71"/>
        <w:ind w:firstLine="361"/>
      </w:pPr>
      <w:r>
        <w:t>表10.2.2 装配式开孔钢板</w:t>
      </w:r>
      <w:r>
        <w:rPr>
          <w:rFonts w:hint="eastAsia" w:hAnsi="Calibri" w:cs="Calibri" w:asciiTheme="minorHAnsi"/>
        </w:rPr>
        <w:t>组合</w:t>
      </w:r>
      <w:r>
        <w:t>剪力墙住宅建筑主体结构分部子分部、分项工程划分</w:t>
      </w:r>
    </w:p>
    <w:tbl>
      <w:tblPr>
        <w:tblStyle w:val="43"/>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417"/>
        <w:gridCol w:w="1953"/>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72"/>
              <w:ind w:firstLine="0" w:firstLineChars="0"/>
            </w:pPr>
            <w:r>
              <w:t>序号</w:t>
            </w:r>
          </w:p>
        </w:tc>
        <w:tc>
          <w:tcPr>
            <w:tcW w:w="1417"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72"/>
              <w:ind w:firstLine="0" w:firstLineChars="0"/>
            </w:pPr>
            <w:r>
              <w:t>分部工程</w:t>
            </w:r>
          </w:p>
        </w:tc>
        <w:tc>
          <w:tcPr>
            <w:tcW w:w="1953"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72"/>
              <w:ind w:firstLine="0" w:firstLineChars="0"/>
            </w:pPr>
            <w:r>
              <w:t>子分部工程</w:t>
            </w:r>
          </w:p>
        </w:tc>
        <w:tc>
          <w:tcPr>
            <w:tcW w:w="4220" w:type="dxa"/>
            <w:tcBorders>
              <w:top w:val="single" w:color="auto" w:sz="12" w:space="0"/>
              <w:left w:val="single" w:color="auto" w:sz="4" w:space="0"/>
              <w:bottom w:val="single" w:color="auto" w:sz="4" w:space="0"/>
              <w:right w:val="single" w:color="auto" w:sz="12" w:space="0"/>
            </w:tcBorders>
            <w:shd w:val="clear" w:color="auto" w:fill="auto"/>
            <w:vAlign w:val="center"/>
          </w:tcPr>
          <w:p>
            <w:pPr>
              <w:pStyle w:val="72"/>
              <w:ind w:firstLine="360"/>
            </w:pPr>
            <w:r>
              <w:t>分项工程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pStyle w:val="72"/>
              <w:ind w:firstLine="0" w:firstLineChars="0"/>
            </w:pPr>
            <w: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72"/>
              <w:ind w:firstLine="0" w:firstLineChars="0"/>
            </w:pPr>
            <w:r>
              <w:t>主体结构</w:t>
            </w: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2"/>
              <w:ind w:firstLine="0" w:firstLineChars="0"/>
            </w:pPr>
            <w:r>
              <w:t>楼板结构</w:t>
            </w:r>
          </w:p>
        </w:tc>
        <w:tc>
          <w:tcPr>
            <w:tcW w:w="422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72"/>
              <w:ind w:firstLine="0" w:firstLineChars="0"/>
            </w:pPr>
            <w:r>
              <w:t>压型金属板、钢筋桁架板、预制混凝土叠合楼板、木模板、钢筋、混凝土、抗剪栓钉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pStyle w:val="72"/>
              <w:ind w:firstLine="360"/>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72"/>
              <w:ind w:firstLine="360"/>
            </w:pPr>
          </w:p>
        </w:tc>
        <w:tc>
          <w:tcPr>
            <w:tcW w:w="195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2"/>
              <w:ind w:firstLine="0" w:firstLineChars="0"/>
            </w:pPr>
            <w:r>
              <w:t>开孔钢板剪力墙结构</w:t>
            </w:r>
          </w:p>
        </w:tc>
        <w:tc>
          <w:tcPr>
            <w:tcW w:w="4220" w:type="dxa"/>
            <w:tcBorders>
              <w:top w:val="single" w:color="auto" w:sz="4" w:space="0"/>
              <w:left w:val="single" w:color="auto" w:sz="4" w:space="0"/>
              <w:bottom w:val="single" w:color="auto" w:sz="4" w:space="0"/>
              <w:right w:val="single" w:color="auto" w:sz="12" w:space="0"/>
            </w:tcBorders>
            <w:shd w:val="clear" w:color="auto" w:fill="auto"/>
            <w:vAlign w:val="center"/>
          </w:tcPr>
          <w:p>
            <w:pPr>
              <w:pStyle w:val="72"/>
              <w:ind w:firstLine="0" w:firstLineChars="0"/>
            </w:pPr>
            <w:r>
              <w:t>开孔钢板剪力墙焊接，螺栓连接，钢筋，开孔钢板剪力墙制作、安装，混凝土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6" w:type="dxa"/>
            <w:vMerge w:val="continue"/>
            <w:tcBorders>
              <w:top w:val="single" w:color="auto" w:sz="4" w:space="0"/>
              <w:left w:val="single" w:color="auto" w:sz="12" w:space="0"/>
              <w:bottom w:val="single" w:color="auto" w:sz="12" w:space="0"/>
              <w:right w:val="single" w:color="auto" w:sz="4" w:space="0"/>
            </w:tcBorders>
            <w:shd w:val="clear" w:color="auto" w:fill="auto"/>
            <w:vAlign w:val="center"/>
          </w:tcPr>
          <w:p>
            <w:pPr>
              <w:pStyle w:val="72"/>
              <w:ind w:firstLine="360"/>
            </w:pPr>
          </w:p>
        </w:tc>
        <w:tc>
          <w:tcPr>
            <w:tcW w:w="1417" w:type="dxa"/>
            <w:vMerge w:val="continue"/>
            <w:tcBorders>
              <w:top w:val="single" w:color="auto" w:sz="4" w:space="0"/>
              <w:left w:val="single" w:color="auto" w:sz="4" w:space="0"/>
              <w:bottom w:val="single" w:color="auto" w:sz="12" w:space="0"/>
              <w:right w:val="single" w:color="auto" w:sz="4" w:space="0"/>
            </w:tcBorders>
            <w:shd w:val="clear" w:color="auto" w:fill="auto"/>
            <w:vAlign w:val="center"/>
          </w:tcPr>
          <w:p>
            <w:pPr>
              <w:pStyle w:val="72"/>
              <w:ind w:firstLine="360"/>
            </w:pPr>
          </w:p>
        </w:tc>
        <w:tc>
          <w:tcPr>
            <w:tcW w:w="1953"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72"/>
              <w:ind w:firstLine="0" w:firstLineChars="0"/>
            </w:pPr>
            <w:r>
              <w:t>钢结构</w:t>
            </w:r>
          </w:p>
        </w:tc>
        <w:tc>
          <w:tcPr>
            <w:tcW w:w="4220" w:type="dxa"/>
            <w:tcBorders>
              <w:top w:val="single" w:color="auto" w:sz="4" w:space="0"/>
              <w:left w:val="single" w:color="auto" w:sz="4" w:space="0"/>
              <w:bottom w:val="single" w:color="auto" w:sz="12" w:space="0"/>
              <w:right w:val="single" w:color="auto" w:sz="12" w:space="0"/>
            </w:tcBorders>
            <w:shd w:val="clear" w:color="auto" w:fill="auto"/>
            <w:vAlign w:val="center"/>
          </w:tcPr>
          <w:p>
            <w:pPr>
              <w:pStyle w:val="72"/>
              <w:ind w:firstLine="0" w:firstLineChars="0"/>
            </w:pPr>
            <w:r>
              <w:t>钢结构焊接，紧固件连接，钢零部件加工，单层、多层及高层钢结构安装，钢结构涂装，钢构件组装，钢构件预拼装</w:t>
            </w:r>
          </w:p>
        </w:tc>
      </w:tr>
    </w:tbl>
    <w:p>
      <w:pPr>
        <w:pStyle w:val="4"/>
        <w:keepNext w:val="0"/>
        <w:keepLines w:val="0"/>
        <w:ind w:left="0"/>
        <w:rPr>
          <w:rFonts w:hAnsi="Calibri" w:cs="Calibri" w:asciiTheme="minorHAnsi"/>
        </w:rPr>
      </w:pPr>
      <w:r>
        <w:rPr>
          <w:rFonts w:hAnsi="Calibri" w:cs="Calibri" w:asciiTheme="minorHAnsi"/>
        </w:rPr>
        <w:t>检验批可根据钢结构住宅建筑装配式施工特征、后续施工安排和相关专业验收需要，按楼层、施工段、变形缝等进行划分。</w:t>
      </w:r>
    </w:p>
    <w:p>
      <w:pPr>
        <w:pStyle w:val="4"/>
        <w:keepNext w:val="0"/>
        <w:keepLines w:val="0"/>
        <w:ind w:left="0"/>
        <w:rPr>
          <w:rFonts w:hAnsi="Calibri" w:cs="Calibri" w:asciiTheme="minorHAnsi"/>
        </w:rPr>
      </w:pPr>
      <w:r>
        <w:t>钢结构主体工程焊接工程验收应按现行国家标准《钢结构工程施工质量验收规范》GB 50205的有关规定，在焊前检验、焊中检验和焊后检验基础上按设计文件和现行国家标准《钢结构焊接规范》GB 50661的规定执行</w:t>
      </w:r>
      <w:r>
        <w:rPr>
          <w:rFonts w:hAnsi="Calibri" w:cs="Calibri" w:asciiTheme="minorHAnsi"/>
        </w:rPr>
        <w:t>。</w:t>
      </w:r>
    </w:p>
    <w:p>
      <w:pPr>
        <w:pStyle w:val="4"/>
        <w:keepNext w:val="0"/>
        <w:keepLines w:val="0"/>
        <w:ind w:left="0"/>
      </w:pPr>
      <w:r>
        <w:t>开孔钢板组合剪力墙构件加工外形尺寸的允许偏差应符合表 10.2.5 的规定。</w:t>
      </w:r>
    </w:p>
    <w:p>
      <w:pPr>
        <w:pStyle w:val="71"/>
        <w:ind w:firstLine="361"/>
      </w:pPr>
      <w:r>
        <w:t>表 10.2.5 构件外形尺寸允许偏差</w:t>
      </w:r>
    </w:p>
    <w:tbl>
      <w:tblPr>
        <w:tblStyle w:val="44"/>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025"/>
        <w:gridCol w:w="2300"/>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gridSpan w:val="2"/>
            <w:tcBorders>
              <w:top w:val="single" w:color="auto" w:sz="12" w:space="0"/>
              <w:left w:val="single" w:color="auto" w:sz="12" w:space="0"/>
            </w:tcBorders>
          </w:tcPr>
          <w:p>
            <w:pPr>
              <w:pStyle w:val="72"/>
              <w:ind w:firstLine="0" w:firstLineChars="0"/>
            </w:pPr>
            <w:r>
              <w:t>项目</w:t>
            </w:r>
          </w:p>
        </w:tc>
        <w:tc>
          <w:tcPr>
            <w:tcW w:w="4350" w:type="dxa"/>
            <w:gridSpan w:val="2"/>
            <w:tcBorders>
              <w:top w:val="single" w:color="auto" w:sz="12" w:space="0"/>
              <w:right w:val="single" w:color="auto" w:sz="12" w:space="0"/>
            </w:tcBorders>
          </w:tcPr>
          <w:p>
            <w:pPr>
              <w:pStyle w:val="72"/>
              <w:ind w:firstLine="360"/>
            </w:pPr>
            <w: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gridSpan w:val="2"/>
            <w:tcBorders>
              <w:left w:val="single" w:color="auto" w:sz="12" w:space="0"/>
            </w:tcBorders>
          </w:tcPr>
          <w:p>
            <w:pPr>
              <w:pStyle w:val="72"/>
              <w:ind w:firstLine="0" w:firstLineChars="0"/>
            </w:pPr>
            <w:r>
              <w:t>剪力墙高度、宽度</w:t>
            </w:r>
          </w:p>
        </w:tc>
        <w:tc>
          <w:tcPr>
            <w:tcW w:w="4350" w:type="dxa"/>
            <w:gridSpan w:val="2"/>
            <w:tcBorders>
              <w:right w:val="single" w:color="auto" w:sz="12" w:space="0"/>
            </w:tcBorders>
          </w:tcPr>
          <w:p>
            <w:pPr>
              <w:pStyle w:val="72"/>
              <w:ind w:firstLine="0" w:firstLineChars="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1" w:type="dxa"/>
            <w:gridSpan w:val="2"/>
            <w:tcBorders>
              <w:left w:val="single" w:color="auto" w:sz="12" w:space="0"/>
            </w:tcBorders>
          </w:tcPr>
          <w:p>
            <w:pPr>
              <w:pStyle w:val="72"/>
              <w:ind w:firstLine="0" w:firstLineChars="0"/>
            </w:pPr>
            <w:r>
              <w:t>剪力墙平面内对角线</w:t>
            </w:r>
          </w:p>
        </w:tc>
        <w:tc>
          <w:tcPr>
            <w:tcW w:w="4350" w:type="dxa"/>
            <w:gridSpan w:val="2"/>
            <w:tcBorders>
              <w:right w:val="single" w:color="auto" w:sz="12" w:space="0"/>
            </w:tcBorders>
          </w:tcPr>
          <w:p>
            <w:pPr>
              <w:pStyle w:val="72"/>
              <w:ind w:firstLine="0" w:firstLineChars="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vMerge w:val="restart"/>
            <w:tcBorders>
              <w:left w:val="single" w:color="auto" w:sz="12" w:space="0"/>
            </w:tcBorders>
          </w:tcPr>
          <w:p>
            <w:pPr>
              <w:pStyle w:val="72"/>
              <w:ind w:firstLine="0" w:firstLineChars="0"/>
            </w:pPr>
            <w:r>
              <w:t>钢板组合剪力墙结构连接处</w:t>
            </w:r>
          </w:p>
        </w:tc>
        <w:tc>
          <w:tcPr>
            <w:tcW w:w="2025" w:type="dxa"/>
          </w:tcPr>
          <w:p>
            <w:pPr>
              <w:pStyle w:val="72"/>
              <w:ind w:firstLine="0" w:firstLineChars="0"/>
            </w:pPr>
            <w:r>
              <w:t>截面几何尺寸</w:t>
            </w:r>
          </w:p>
        </w:tc>
        <w:tc>
          <w:tcPr>
            <w:tcW w:w="4350" w:type="dxa"/>
            <w:gridSpan w:val="2"/>
            <w:tcBorders>
              <w:right w:val="single" w:color="auto" w:sz="12" w:space="0"/>
            </w:tcBorders>
          </w:tcPr>
          <w:p>
            <w:pPr>
              <w:pStyle w:val="72"/>
              <w:ind w:firstLine="0" w:firstLineChars="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vMerge w:val="continue"/>
            <w:tcBorders>
              <w:left w:val="single" w:color="auto" w:sz="12" w:space="0"/>
            </w:tcBorders>
          </w:tcPr>
          <w:p>
            <w:pPr>
              <w:pStyle w:val="72"/>
              <w:ind w:firstLine="360"/>
            </w:pPr>
          </w:p>
        </w:tc>
        <w:tc>
          <w:tcPr>
            <w:tcW w:w="2025" w:type="dxa"/>
            <w:vMerge w:val="restart"/>
          </w:tcPr>
          <w:p>
            <w:pPr>
              <w:pStyle w:val="72"/>
              <w:ind w:firstLine="0" w:firstLineChars="0"/>
            </w:pPr>
            <w:r>
              <w:t>平面度差</w:t>
            </w:r>
          </w:p>
        </w:tc>
        <w:tc>
          <w:tcPr>
            <w:tcW w:w="2300" w:type="dxa"/>
          </w:tcPr>
          <w:p>
            <w:pPr>
              <w:pStyle w:val="72"/>
              <w:ind w:firstLine="360"/>
            </w:pPr>
            <w:r>
              <w:t>螺栓连接</w:t>
            </w:r>
          </w:p>
        </w:tc>
        <w:tc>
          <w:tcPr>
            <w:tcW w:w="2050" w:type="dxa"/>
            <w:tcBorders>
              <w:right w:val="single" w:color="auto" w:sz="12" w:space="0"/>
            </w:tcBorders>
          </w:tcPr>
          <w:p>
            <w:pPr>
              <w:pStyle w:val="72"/>
              <w:ind w:firstLine="0" w:firstLineChars="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vMerge w:val="continue"/>
            <w:tcBorders>
              <w:left w:val="single" w:color="auto" w:sz="12" w:space="0"/>
            </w:tcBorders>
          </w:tcPr>
          <w:p>
            <w:pPr>
              <w:pStyle w:val="72"/>
              <w:ind w:firstLine="360"/>
            </w:pPr>
          </w:p>
        </w:tc>
        <w:tc>
          <w:tcPr>
            <w:tcW w:w="2025" w:type="dxa"/>
            <w:vMerge w:val="continue"/>
          </w:tcPr>
          <w:p>
            <w:pPr>
              <w:pStyle w:val="72"/>
              <w:ind w:firstLine="360"/>
            </w:pPr>
          </w:p>
        </w:tc>
        <w:tc>
          <w:tcPr>
            <w:tcW w:w="2300" w:type="dxa"/>
          </w:tcPr>
          <w:p>
            <w:pPr>
              <w:pStyle w:val="72"/>
              <w:ind w:firstLine="360"/>
            </w:pPr>
            <w:r>
              <w:t>其他连接</w:t>
            </w:r>
          </w:p>
        </w:tc>
        <w:tc>
          <w:tcPr>
            <w:tcW w:w="2050" w:type="dxa"/>
            <w:tcBorders>
              <w:right w:val="single" w:color="auto" w:sz="12" w:space="0"/>
            </w:tcBorders>
          </w:tcPr>
          <w:p>
            <w:pPr>
              <w:pStyle w:val="72"/>
              <w:ind w:firstLine="0" w:firstLineChars="0"/>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6" w:type="dxa"/>
            <w:tcBorders>
              <w:left w:val="single" w:color="auto" w:sz="12" w:space="0"/>
              <w:bottom w:val="single" w:color="auto" w:sz="12" w:space="0"/>
            </w:tcBorders>
          </w:tcPr>
          <w:p>
            <w:pPr>
              <w:pStyle w:val="72"/>
              <w:ind w:firstLine="0" w:firstLineChars="0"/>
            </w:pPr>
            <w:r>
              <w:t>剪力墙弯曲矢高</w:t>
            </w:r>
          </w:p>
        </w:tc>
        <w:tc>
          <w:tcPr>
            <w:tcW w:w="2025" w:type="dxa"/>
            <w:tcBorders>
              <w:bottom w:val="single" w:color="auto" w:sz="12" w:space="0"/>
            </w:tcBorders>
          </w:tcPr>
          <w:p>
            <w:pPr>
              <w:pStyle w:val="72"/>
              <w:ind w:firstLine="0" w:firstLineChars="0"/>
            </w:pPr>
            <w:r>
              <w:t>受压</w:t>
            </w:r>
          </w:p>
        </w:tc>
        <w:tc>
          <w:tcPr>
            <w:tcW w:w="4350" w:type="dxa"/>
            <w:gridSpan w:val="2"/>
            <w:tcBorders>
              <w:bottom w:val="single" w:color="auto" w:sz="12" w:space="0"/>
              <w:right w:val="single" w:color="auto" w:sz="12" w:space="0"/>
            </w:tcBorders>
          </w:tcPr>
          <w:p>
            <w:pPr>
              <w:pStyle w:val="72"/>
              <w:ind w:firstLine="360"/>
            </w:pPr>
            <w:r>
              <w:t>h/1000，且不应大于 10.0</w:t>
            </w:r>
          </w:p>
        </w:tc>
      </w:tr>
    </w:tbl>
    <w:p>
      <w:pPr>
        <w:pStyle w:val="4"/>
        <w:keepNext w:val="0"/>
        <w:keepLines w:val="0"/>
        <w:ind w:left="0"/>
      </w:pPr>
      <w:r>
        <w:t>钢结构主体工程紧固件连接工程应按现行国家标准《钢结构工程施工质量验收规范》GB 50205规定的质量验收方法和质量验收项目执行，同时应符合现行行业标准《钢结构高强度螺栓连接技术规程》JGJ 82的规定。</w:t>
      </w:r>
    </w:p>
    <w:p>
      <w:pPr>
        <w:pStyle w:val="4"/>
        <w:keepNext w:val="0"/>
        <w:keepLines w:val="0"/>
        <w:ind w:left="0"/>
      </w:pPr>
      <w:r>
        <w:t>钢结构防腐蚀涂装工程应按现行国家</w:t>
      </w:r>
      <w:r>
        <w:rPr>
          <w:rFonts w:hint="eastAsia"/>
        </w:rPr>
        <w:t>及行业</w:t>
      </w:r>
      <w:r>
        <w:t>标准《钢结构工程施工质量验收规范》GB 50205、《建筑防腐蚀工程施工规范》GB 50212、《建筑防腐蚀施工质量验收标准》GB 50224及《建筑钢结构防腐蚀技术规程》JGJ/T 251的规定进行验收；金属热喷涂防腐和热镀锌防腐工程，应按现行国家标准《热喷涂金属和其他无机覆盖层锌、铝及其合金》GB/T 9793、《热喷涂金属件表面预处理》GB/T 11373、《金属覆盖层钢铁制件热浸镀锌层技术要求及试验方法》GB/T 13912及《金属零（部）件镀覆前质量控制技术要求》GB/T 12611等有关规定进行质量验收。</w:t>
      </w:r>
    </w:p>
    <w:p>
      <w:pPr>
        <w:pStyle w:val="4"/>
        <w:keepNext w:val="0"/>
        <w:keepLines w:val="0"/>
        <w:ind w:left="0"/>
      </w:pPr>
      <w:r>
        <w:t>钢结构防火涂料的粘结强度、抗压强度应符合现行国家标准《钢结构工程施工质量验收规范》GB 50205的规定，试验方法应符合国家现行标准《钢结构防火涂料应用技术规程》</w:t>
      </w:r>
      <w:r>
        <w:rPr>
          <w:rFonts w:hint="eastAsia"/>
        </w:rPr>
        <w:t>T/</w:t>
      </w:r>
      <w:r>
        <w:t>CECS 24的规定；防火板防火涂料、及其他防火包覆材料的厚度应符合现行国家标准《建筑设计防火规范》GB 50016关于耐火极限的设计要求。</w:t>
      </w:r>
    </w:p>
    <w:p>
      <w:pPr>
        <w:pStyle w:val="4"/>
        <w:keepNext w:val="0"/>
        <w:keepLines w:val="0"/>
        <w:ind w:left="0"/>
      </w:pPr>
      <w:r>
        <w:rPr>
          <w:rFonts w:hint="eastAsia"/>
        </w:rPr>
        <w:t>装配式</w:t>
      </w:r>
      <w:r>
        <w:t>开孔钢板</w:t>
      </w:r>
      <w:r>
        <w:rPr>
          <w:rFonts w:hint="eastAsia" w:hAnsi="Calibri" w:cs="Calibri" w:asciiTheme="minorHAnsi"/>
        </w:rPr>
        <w:t>组合</w:t>
      </w:r>
      <w:r>
        <w:t>剪力墙</w:t>
      </w:r>
      <w:r>
        <w:rPr>
          <w:rFonts w:hint="eastAsia"/>
        </w:rPr>
        <w:t>结构</w:t>
      </w:r>
      <w:r>
        <w:t>建筑的楼板及屋面板应按下列标准进行验收：</w:t>
      </w:r>
    </w:p>
    <w:p>
      <w:pPr>
        <w:ind w:firstLine="422"/>
      </w:pPr>
      <w:r>
        <w:rPr>
          <w:b/>
          <w:bCs/>
        </w:rPr>
        <w:t>1</w:t>
      </w:r>
      <w:r>
        <w:t>压型钢板组合楼板和钢筋桁架楼承板组合楼板应按现行国家标准《钢结构工程施工质量验收规范》GB 50205和《混凝土结构工程施工质量验收规范》GB 50204的规定进行验收。</w:t>
      </w:r>
    </w:p>
    <w:p>
      <w:pPr>
        <w:ind w:firstLine="422"/>
      </w:pPr>
      <w:r>
        <w:rPr>
          <w:b/>
          <w:bCs/>
        </w:rPr>
        <w:t>2</w:t>
      </w:r>
      <w:r>
        <w:t>预制预应力空心板叠合楼板应按现行国家标准《预应力混凝土空心板》GB/T 14040及《混凝土结构工程施工质量验收规范》GB 50204的规定进行验收。</w:t>
      </w:r>
    </w:p>
    <w:p>
      <w:pPr>
        <w:ind w:firstLine="422"/>
      </w:pPr>
      <w:r>
        <w:rPr>
          <w:b/>
          <w:bCs/>
        </w:rPr>
        <w:t>3</w:t>
      </w:r>
      <w:r>
        <w:t>混凝土叠合楼板应按现行国家及行业标准《混凝土结构工程施工质量验收规范》GB 50204及《装配式混凝土结构技术规程》JGJ 1的规定进行验收。</w:t>
      </w:r>
    </w:p>
    <w:p>
      <w:pPr>
        <w:pStyle w:val="4"/>
        <w:keepNext w:val="0"/>
        <w:keepLines w:val="0"/>
        <w:ind w:left="0"/>
      </w:pPr>
      <w:r>
        <w:t>钢楼梯应按现行国家标准《钢结构工程施工质量验收规范》GB 50205的规定进行验收，预制混凝土楼梯应按现行国家及行业标准《混凝土结构工程施工质量验收规范》GB 50204和《装配式混凝土结构技术规程》JGJ 1的规定进行验收。</w:t>
      </w:r>
    </w:p>
    <w:p>
      <w:pPr>
        <w:pStyle w:val="3"/>
        <w:keepNext w:val="0"/>
        <w:keepLines w:val="0"/>
        <w:spacing w:before="217" w:after="217"/>
        <w:ind w:firstLine="482"/>
        <w:rPr>
          <w:rFonts w:hAnsi="Calibri" w:cs="Calibri" w:asciiTheme="minorHAnsi"/>
        </w:rPr>
      </w:pPr>
      <w:bookmarkStart w:id="97" w:name="_Toc19654"/>
      <w:r>
        <w:fldChar w:fldCharType="begin"/>
      </w:r>
      <w:r>
        <w:instrText xml:space="preserve"> HYPERLINK \l "_Toc518552843"</w:instrText>
      </w:r>
      <w:r>
        <w:fldChar w:fldCharType="separate"/>
      </w:r>
      <w:bookmarkStart w:id="98" w:name="_Toc36207186"/>
      <w:r>
        <w:rPr>
          <w:rFonts w:hAnsi="Calibri" w:cs="Calibri" w:asciiTheme="minorHAnsi"/>
        </w:rPr>
        <w:t>墙板系统验收</w:t>
      </w:r>
      <w:bookmarkEnd w:id="98"/>
      <w:r>
        <w:rPr>
          <w:rFonts w:hAnsi="Calibri" w:cs="Calibri" w:asciiTheme="minorHAnsi"/>
        </w:rPr>
        <w:fldChar w:fldCharType="end"/>
      </w:r>
      <w:bookmarkEnd w:id="97"/>
    </w:p>
    <w:p>
      <w:pPr>
        <w:pStyle w:val="4"/>
        <w:keepNext w:val="0"/>
        <w:keepLines w:val="0"/>
        <w:ind w:left="0"/>
        <w:rPr>
          <w:rFonts w:hAnsi="Calibri" w:cs="Calibri" w:asciiTheme="minorHAnsi"/>
        </w:rPr>
      </w:pPr>
      <w:r>
        <w:rPr>
          <w:rFonts w:hAnsi="Calibri" w:cs="Calibri" w:asciiTheme="minorHAnsi"/>
        </w:rPr>
        <w:t>墙板系统质量验收应根据工程实际情况检查下列文件和记录：</w:t>
      </w:r>
    </w:p>
    <w:p>
      <w:pPr>
        <w:ind w:firstLine="422"/>
      </w:pPr>
      <w:r>
        <w:rPr>
          <w:b/>
          <w:bCs/>
        </w:rPr>
        <w:t xml:space="preserve">1 </w:t>
      </w:r>
      <w:r>
        <w:t>施工图或竣工图、性能试验报告、设计说明及其他设计文件。</w:t>
      </w:r>
    </w:p>
    <w:p>
      <w:pPr>
        <w:ind w:firstLine="422"/>
      </w:pPr>
      <w:r>
        <w:rPr>
          <w:b/>
          <w:bCs/>
        </w:rPr>
        <w:t>2</w:t>
      </w:r>
      <w:r>
        <w:t xml:space="preserve"> 墙板部品和配套材料的出厂合格证、进场验收记录。</w:t>
      </w:r>
    </w:p>
    <w:p>
      <w:pPr>
        <w:ind w:firstLine="422"/>
      </w:pPr>
      <w:r>
        <w:rPr>
          <w:b/>
          <w:bCs/>
        </w:rPr>
        <w:t xml:space="preserve">3 </w:t>
      </w:r>
      <w:r>
        <w:t>施工安装记录。</w:t>
      </w:r>
    </w:p>
    <w:p>
      <w:pPr>
        <w:ind w:firstLine="422"/>
      </w:pPr>
      <w:r>
        <w:rPr>
          <w:b/>
          <w:bCs/>
        </w:rPr>
        <w:t>4</w:t>
      </w:r>
      <w:r>
        <w:t xml:space="preserve"> 隐蔽工程验收记录。</w:t>
      </w:r>
    </w:p>
    <w:p>
      <w:pPr>
        <w:ind w:firstLine="422"/>
      </w:pPr>
      <w:r>
        <w:rPr>
          <w:b/>
          <w:bCs/>
        </w:rPr>
        <w:t>5</w:t>
      </w:r>
      <w:r>
        <w:t xml:space="preserve"> 施工过程中重大技术问题的处理文件、工作记录和工程变更记录。</w:t>
      </w:r>
    </w:p>
    <w:p>
      <w:pPr>
        <w:pStyle w:val="4"/>
        <w:keepNext w:val="0"/>
        <w:keepLines w:val="0"/>
        <w:ind w:left="0"/>
        <w:rPr>
          <w:rFonts w:hAnsi="Calibri" w:cs="Calibri" w:asciiTheme="minorHAnsi"/>
        </w:rPr>
      </w:pPr>
      <w:r>
        <w:rPr>
          <w:rFonts w:hAnsi="Calibri" w:cs="Calibri" w:asciiTheme="minorHAnsi"/>
          <w:bCs w:val="0"/>
        </w:rPr>
        <w:t>外</w:t>
      </w:r>
      <w:r>
        <w:rPr>
          <w:rFonts w:hAnsi="Calibri" w:cs="Calibri" w:asciiTheme="minorHAnsi"/>
        </w:rPr>
        <w:t>墙板系统应在验收前完成下列性能的试验和测试：</w:t>
      </w:r>
    </w:p>
    <w:p>
      <w:pPr>
        <w:ind w:firstLine="422"/>
      </w:pPr>
      <w:r>
        <w:rPr>
          <w:b/>
          <w:bCs/>
        </w:rPr>
        <w:t>1</w:t>
      </w:r>
      <w:r>
        <w:t xml:space="preserve"> 抗风压性能、层间变形性能、耐撞击性能、耐火极限等实验室检测。</w:t>
      </w:r>
    </w:p>
    <w:p>
      <w:pPr>
        <w:ind w:firstLine="422"/>
      </w:pPr>
      <w:r>
        <w:rPr>
          <w:b/>
          <w:bCs/>
        </w:rPr>
        <w:t>2</w:t>
      </w:r>
      <w:r>
        <w:t xml:space="preserve"> 连接件材性、锚栓拉拔强度等检测。</w:t>
      </w:r>
    </w:p>
    <w:p>
      <w:pPr>
        <w:pStyle w:val="74"/>
        <w:widowControl w:val="0"/>
        <w:ind w:firstLine="400"/>
      </w:pPr>
      <w:r>
        <w:t>【条文说明】进行连接件材性试验时，应现场取样后送实验室检测；锚栓拉拔强度应进行现场检测。</w:t>
      </w:r>
    </w:p>
    <w:p>
      <w:pPr>
        <w:pStyle w:val="4"/>
        <w:keepNext w:val="0"/>
        <w:keepLines w:val="0"/>
        <w:ind w:left="0"/>
        <w:rPr>
          <w:rFonts w:hAnsi="Calibri" w:cs="Calibri" w:asciiTheme="minorHAnsi"/>
        </w:rPr>
      </w:pPr>
      <w:r>
        <w:rPr>
          <w:rFonts w:hAnsi="Calibri" w:cs="Calibri" w:asciiTheme="minorHAnsi"/>
        </w:rPr>
        <w:t>墙板系统应根据工程实际情况进行下列现场试验和测试：</w:t>
      </w:r>
    </w:p>
    <w:p>
      <w:pPr>
        <w:ind w:firstLine="422"/>
      </w:pPr>
      <w:r>
        <w:rPr>
          <w:b/>
          <w:bCs/>
        </w:rPr>
        <w:t>1</w:t>
      </w:r>
      <w:r>
        <w:t xml:space="preserve"> 饰面砖（板）的粘接强度测试。</w:t>
      </w:r>
    </w:p>
    <w:p>
      <w:pPr>
        <w:ind w:firstLine="422"/>
      </w:pPr>
      <w:r>
        <w:rPr>
          <w:b/>
          <w:bCs/>
        </w:rPr>
        <w:t>2</w:t>
      </w:r>
      <w:r>
        <w:t xml:space="preserve"> 墙板接缝及外门窗安装部位的现场淋水试验。</w:t>
      </w:r>
    </w:p>
    <w:p>
      <w:pPr>
        <w:ind w:firstLine="422"/>
      </w:pPr>
      <w:r>
        <w:rPr>
          <w:b/>
          <w:bCs/>
        </w:rPr>
        <w:t>3</w:t>
      </w:r>
      <w:r>
        <w:t xml:space="preserve"> 现场隔声测试。</w:t>
      </w:r>
    </w:p>
    <w:p>
      <w:pPr>
        <w:ind w:firstLine="422"/>
      </w:pPr>
      <w:r>
        <w:rPr>
          <w:b/>
          <w:bCs/>
        </w:rPr>
        <w:t>4</w:t>
      </w:r>
      <w:r>
        <w:t xml:space="preserve"> 现场传热系数测试。</w:t>
      </w:r>
    </w:p>
    <w:p>
      <w:pPr>
        <w:pStyle w:val="4"/>
        <w:keepNext w:val="0"/>
        <w:keepLines w:val="0"/>
        <w:ind w:left="0"/>
        <w:rPr>
          <w:rFonts w:hAnsi="Calibri" w:cs="Calibri" w:asciiTheme="minorHAnsi"/>
        </w:rPr>
      </w:pPr>
      <w:r>
        <w:rPr>
          <w:rFonts w:hAnsi="Calibri" w:cs="Calibri" w:asciiTheme="minorHAnsi"/>
        </w:rPr>
        <w:t>墙板部品应完成下列隐蔽项目的现场验收：</w:t>
      </w:r>
    </w:p>
    <w:p>
      <w:pPr>
        <w:ind w:firstLine="422"/>
      </w:pPr>
      <w:r>
        <w:rPr>
          <w:b/>
          <w:bCs/>
        </w:rPr>
        <w:t>1</w:t>
      </w:r>
      <w:r>
        <w:t xml:space="preserve"> 预埋件。</w:t>
      </w:r>
    </w:p>
    <w:p>
      <w:pPr>
        <w:ind w:firstLine="422"/>
      </w:pPr>
      <w:r>
        <w:rPr>
          <w:b/>
          <w:bCs/>
        </w:rPr>
        <w:t>2</w:t>
      </w:r>
      <w:r>
        <w:t xml:space="preserve"> 与主体结构的连接节点。</w:t>
      </w:r>
    </w:p>
    <w:p>
      <w:pPr>
        <w:ind w:firstLine="422"/>
      </w:pPr>
      <w:r>
        <w:rPr>
          <w:b/>
          <w:bCs/>
        </w:rPr>
        <w:t>3</w:t>
      </w:r>
      <w:r>
        <w:t xml:space="preserve"> 与主体结构之间的封堵构造节点。</w:t>
      </w:r>
    </w:p>
    <w:p>
      <w:pPr>
        <w:ind w:firstLine="422"/>
      </w:pPr>
      <w:r>
        <w:rPr>
          <w:b/>
          <w:bCs/>
        </w:rPr>
        <w:t xml:space="preserve">4 </w:t>
      </w:r>
      <w:r>
        <w:t>变形缝及墙面转角处的构造节点。</w:t>
      </w:r>
    </w:p>
    <w:p>
      <w:pPr>
        <w:ind w:firstLine="422"/>
      </w:pPr>
      <w:r>
        <w:rPr>
          <w:b/>
          <w:bCs/>
        </w:rPr>
        <w:t>5</w:t>
      </w:r>
      <w:r>
        <w:t xml:space="preserve"> 防雷装置。</w:t>
      </w:r>
    </w:p>
    <w:p>
      <w:pPr>
        <w:ind w:firstLine="422"/>
      </w:pPr>
      <w:r>
        <w:rPr>
          <w:b/>
          <w:bCs/>
        </w:rPr>
        <w:t>6</w:t>
      </w:r>
      <w:r>
        <w:t xml:space="preserve"> 防火构造。</w:t>
      </w:r>
    </w:p>
    <w:p>
      <w:pPr>
        <w:pStyle w:val="4"/>
        <w:keepNext w:val="0"/>
        <w:keepLines w:val="0"/>
        <w:ind w:left="0"/>
        <w:rPr>
          <w:rFonts w:hAnsi="Calibri" w:cs="Calibri" w:asciiTheme="minorHAnsi"/>
        </w:rPr>
      </w:pPr>
      <w:r>
        <w:rPr>
          <w:rFonts w:hAnsi="Calibri" w:cs="Calibri" w:asciiTheme="minorHAnsi"/>
        </w:rPr>
        <w:t>墙板系统的分部分项划分应满足国家现行标准的相关要求，检验批划分应符合下列规定：</w:t>
      </w:r>
    </w:p>
    <w:p>
      <w:pPr>
        <w:ind w:firstLine="422"/>
      </w:pPr>
      <w:r>
        <w:rPr>
          <w:b/>
          <w:bCs/>
        </w:rPr>
        <w:t>1</w:t>
      </w:r>
      <w:r>
        <w:t xml:space="preserve"> 相同材料、工艺和施工条件的外围护部品每1000</w:t>
      </w:r>
      <w:r>
        <w:rPr>
          <w:rFonts w:hint="eastAsia"/>
        </w:rPr>
        <w:t>m</w:t>
      </w:r>
      <w:r>
        <w:rPr>
          <w:rFonts w:hint="eastAsia"/>
          <w:vertAlign w:val="superscript"/>
        </w:rPr>
        <w:t>2</w:t>
      </w:r>
      <w:r>
        <w:t>应划分为一个检验批，不足1000</w:t>
      </w:r>
      <w:r>
        <w:rPr>
          <w:rFonts w:hint="eastAsia"/>
        </w:rPr>
        <w:t>m</w:t>
      </w:r>
      <w:r>
        <w:rPr>
          <w:rFonts w:hint="eastAsia"/>
          <w:vertAlign w:val="superscript"/>
        </w:rPr>
        <w:t>2</w:t>
      </w:r>
      <w:r>
        <w:t>也应划分为一个检验批。</w:t>
      </w:r>
    </w:p>
    <w:p>
      <w:pPr>
        <w:ind w:firstLine="422"/>
      </w:pPr>
      <w:r>
        <w:rPr>
          <w:b/>
          <w:bCs/>
        </w:rPr>
        <w:t>2</w:t>
      </w:r>
      <w:r>
        <w:t xml:space="preserve"> 每个检验批每100</w:t>
      </w:r>
      <w:r>
        <w:rPr>
          <w:rFonts w:hint="eastAsia"/>
        </w:rPr>
        <w:t>m</w:t>
      </w:r>
      <w:r>
        <w:rPr>
          <w:rFonts w:hint="eastAsia"/>
          <w:vertAlign w:val="superscript"/>
        </w:rPr>
        <w:t>2</w:t>
      </w:r>
      <w:r>
        <w:t>应至少抽查一处，每处不得小于10</w:t>
      </w:r>
      <w:r>
        <w:rPr>
          <w:rFonts w:hint="eastAsia"/>
        </w:rPr>
        <w:t>m</w:t>
      </w:r>
      <w:r>
        <w:rPr>
          <w:rFonts w:hint="eastAsia"/>
          <w:vertAlign w:val="superscript"/>
        </w:rPr>
        <w:t>2</w:t>
      </w:r>
      <w:r>
        <w:t>。</w:t>
      </w:r>
    </w:p>
    <w:p>
      <w:pPr>
        <w:ind w:firstLine="422"/>
      </w:pPr>
      <w:r>
        <w:rPr>
          <w:b/>
          <w:bCs/>
        </w:rPr>
        <w:t xml:space="preserve">3 </w:t>
      </w:r>
      <w:r>
        <w:t>对于异型、多专业综合或有特殊要求的墙板部品，国家现行相关规范未做出规定时，检验批的划分可根据墙板部品的结构、工艺特点及墙板部品的工程规模，由建设单位组织监理单位和施工单位协商确定。</w:t>
      </w:r>
    </w:p>
    <w:p>
      <w:pPr>
        <w:pStyle w:val="4"/>
        <w:keepNext w:val="0"/>
        <w:keepLines w:val="0"/>
        <w:ind w:left="0"/>
      </w:pPr>
      <w:r>
        <w:t>外挂大墙板安装尺寸允许偏差及检验方法应符合表10.3.6规定。</w:t>
      </w:r>
    </w:p>
    <w:p>
      <w:pPr>
        <w:pStyle w:val="71"/>
        <w:ind w:firstLine="361"/>
      </w:pPr>
      <w:r>
        <w:t>表10.3.6外挂大墙板安装尺寸允许偏差及检验方法</w:t>
      </w:r>
    </w:p>
    <w:tbl>
      <w:tblPr>
        <w:tblStyle w:val="43"/>
        <w:tblpPr w:leftFromText="180" w:rightFromText="180" w:vertAnchor="text" w:horzAnchor="page" w:tblpX="2020" w:tblpY="36"/>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34"/>
        <w:gridCol w:w="2191"/>
        <w:gridCol w:w="2309"/>
        <w:gridCol w:w="22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82" w:type="dxa"/>
            <w:gridSpan w:val="3"/>
            <w:tcBorders>
              <w:tl2br w:val="nil"/>
              <w:tr2bl w:val="nil"/>
            </w:tcBorders>
            <w:shd w:val="clear" w:color="auto" w:fill="auto"/>
            <w:vAlign w:val="center"/>
          </w:tcPr>
          <w:p>
            <w:pPr>
              <w:pStyle w:val="72"/>
              <w:ind w:firstLine="0" w:firstLineChars="0"/>
            </w:pPr>
            <w:r>
              <w:t>项目</w:t>
            </w:r>
          </w:p>
        </w:tc>
        <w:tc>
          <w:tcPr>
            <w:tcW w:w="2309" w:type="dxa"/>
            <w:tcBorders>
              <w:tl2br w:val="nil"/>
              <w:tr2bl w:val="nil"/>
            </w:tcBorders>
            <w:shd w:val="clear" w:color="auto" w:fill="auto"/>
            <w:vAlign w:val="center"/>
          </w:tcPr>
          <w:p>
            <w:pPr>
              <w:pStyle w:val="72"/>
              <w:ind w:firstLine="0" w:firstLineChars="0"/>
            </w:pPr>
            <w:r>
              <w:t>允许偏差（mm）</w:t>
            </w:r>
          </w:p>
        </w:tc>
        <w:tc>
          <w:tcPr>
            <w:tcW w:w="2231" w:type="dxa"/>
            <w:tcBorders>
              <w:tl2br w:val="nil"/>
              <w:tr2bl w:val="nil"/>
            </w:tcBorders>
            <w:shd w:val="clear" w:color="auto" w:fill="auto"/>
            <w:vAlign w:val="center"/>
          </w:tcPr>
          <w:p>
            <w:pPr>
              <w:pStyle w:val="72"/>
              <w:ind w:firstLine="0" w:firstLineChars="0"/>
            </w:pPr>
            <w: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82" w:type="dxa"/>
            <w:gridSpan w:val="3"/>
            <w:tcBorders>
              <w:tl2br w:val="nil"/>
              <w:tr2bl w:val="nil"/>
            </w:tcBorders>
            <w:shd w:val="clear" w:color="auto" w:fill="auto"/>
            <w:vAlign w:val="center"/>
          </w:tcPr>
          <w:p>
            <w:pPr>
              <w:pStyle w:val="72"/>
              <w:ind w:firstLine="0" w:firstLineChars="0"/>
            </w:pPr>
            <w:r>
              <w:t>中心线对轴线位置</w:t>
            </w:r>
          </w:p>
        </w:tc>
        <w:tc>
          <w:tcPr>
            <w:tcW w:w="2309" w:type="dxa"/>
            <w:tcBorders>
              <w:tl2br w:val="nil"/>
              <w:tr2bl w:val="nil"/>
            </w:tcBorders>
            <w:shd w:val="clear" w:color="auto" w:fill="auto"/>
            <w:vAlign w:val="center"/>
          </w:tcPr>
          <w:p>
            <w:pPr>
              <w:pStyle w:val="72"/>
              <w:ind w:firstLine="0" w:firstLineChars="0"/>
            </w:pPr>
            <w:r>
              <w:t>3.0</w:t>
            </w:r>
          </w:p>
        </w:tc>
        <w:tc>
          <w:tcPr>
            <w:tcW w:w="2231" w:type="dxa"/>
            <w:tcBorders>
              <w:tl2br w:val="nil"/>
              <w:tr2bl w:val="nil"/>
            </w:tcBorders>
            <w:shd w:val="clear" w:color="auto" w:fill="auto"/>
            <w:vAlign w:val="center"/>
          </w:tcPr>
          <w:p>
            <w:pPr>
              <w:pStyle w:val="72"/>
              <w:ind w:firstLine="0" w:firstLineChars="0"/>
            </w:pPr>
            <w:r>
              <w:t>尺量检查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982" w:type="dxa"/>
            <w:gridSpan w:val="3"/>
            <w:tcBorders>
              <w:tl2br w:val="nil"/>
              <w:tr2bl w:val="nil"/>
            </w:tcBorders>
            <w:shd w:val="clear" w:color="auto" w:fill="auto"/>
            <w:vAlign w:val="center"/>
          </w:tcPr>
          <w:p>
            <w:pPr>
              <w:pStyle w:val="72"/>
              <w:ind w:firstLine="0" w:firstLineChars="0"/>
            </w:pPr>
            <w:r>
              <w:t>标高</w:t>
            </w:r>
          </w:p>
        </w:tc>
        <w:tc>
          <w:tcPr>
            <w:tcW w:w="2309" w:type="dxa"/>
            <w:tcBorders>
              <w:tl2br w:val="nil"/>
              <w:tr2bl w:val="nil"/>
            </w:tcBorders>
            <w:shd w:val="clear" w:color="auto" w:fill="auto"/>
            <w:vAlign w:val="center"/>
          </w:tcPr>
          <w:p>
            <w:pPr>
              <w:pStyle w:val="72"/>
              <w:ind w:firstLine="0" w:firstLineChars="0"/>
            </w:pPr>
            <w:r>
              <w:t>±3.0</w:t>
            </w:r>
          </w:p>
        </w:tc>
        <w:tc>
          <w:tcPr>
            <w:tcW w:w="2231" w:type="dxa"/>
            <w:tcBorders>
              <w:tl2br w:val="nil"/>
              <w:tr2bl w:val="nil"/>
            </w:tcBorders>
            <w:shd w:val="clear" w:color="auto" w:fill="auto"/>
            <w:vAlign w:val="center"/>
          </w:tcPr>
          <w:p>
            <w:pPr>
              <w:pStyle w:val="72"/>
              <w:ind w:firstLine="0" w:firstLineChars="0"/>
            </w:pPr>
            <w:r>
              <w:t>水准仪或尺量检查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57" w:type="dxa"/>
            <w:vMerge w:val="restart"/>
            <w:tcBorders>
              <w:tl2br w:val="nil"/>
              <w:tr2bl w:val="nil"/>
            </w:tcBorders>
            <w:shd w:val="clear" w:color="auto" w:fill="auto"/>
            <w:vAlign w:val="center"/>
          </w:tcPr>
          <w:p>
            <w:pPr>
              <w:pStyle w:val="72"/>
              <w:ind w:firstLine="0" w:firstLineChars="0"/>
              <w:jc w:val="both"/>
            </w:pPr>
            <w:r>
              <w:t>垂直度</w:t>
            </w:r>
          </w:p>
        </w:tc>
        <w:tc>
          <w:tcPr>
            <w:tcW w:w="834" w:type="dxa"/>
            <w:vMerge w:val="restart"/>
            <w:tcBorders>
              <w:tl2br w:val="nil"/>
              <w:tr2bl w:val="nil"/>
            </w:tcBorders>
            <w:shd w:val="clear" w:color="auto" w:fill="auto"/>
            <w:vAlign w:val="center"/>
          </w:tcPr>
          <w:p>
            <w:pPr>
              <w:pStyle w:val="72"/>
              <w:ind w:firstLine="0" w:firstLineChars="0"/>
            </w:pPr>
            <w:r>
              <w:t>每层</w:t>
            </w:r>
          </w:p>
        </w:tc>
        <w:tc>
          <w:tcPr>
            <w:tcW w:w="2191" w:type="dxa"/>
            <w:tcBorders>
              <w:tl2br w:val="nil"/>
              <w:tr2bl w:val="nil"/>
            </w:tcBorders>
            <w:shd w:val="clear" w:color="auto" w:fill="auto"/>
            <w:vAlign w:val="center"/>
          </w:tcPr>
          <w:p>
            <w:pPr>
              <w:pStyle w:val="72"/>
              <w:ind w:firstLine="0" w:firstLineChars="0"/>
            </w:pPr>
            <w:r>
              <w:t>≤3m</w:t>
            </w:r>
          </w:p>
        </w:tc>
        <w:tc>
          <w:tcPr>
            <w:tcW w:w="2309" w:type="dxa"/>
            <w:tcBorders>
              <w:tl2br w:val="nil"/>
              <w:tr2bl w:val="nil"/>
            </w:tcBorders>
            <w:shd w:val="clear" w:color="auto" w:fill="auto"/>
            <w:vAlign w:val="center"/>
          </w:tcPr>
          <w:p>
            <w:pPr>
              <w:pStyle w:val="72"/>
              <w:ind w:firstLine="0" w:firstLineChars="0"/>
            </w:pPr>
            <w:r>
              <w:t>3.0</w:t>
            </w:r>
          </w:p>
        </w:tc>
        <w:tc>
          <w:tcPr>
            <w:tcW w:w="2231" w:type="dxa"/>
            <w:tcBorders>
              <w:tl2br w:val="nil"/>
              <w:tr2bl w:val="nil"/>
            </w:tcBorders>
            <w:shd w:val="clear" w:color="auto" w:fill="auto"/>
            <w:vAlign w:val="center"/>
          </w:tcPr>
          <w:p>
            <w:pPr>
              <w:pStyle w:val="72"/>
              <w:ind w:firstLine="36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57" w:type="dxa"/>
            <w:vMerge w:val="continue"/>
            <w:tcBorders>
              <w:tl2br w:val="nil"/>
              <w:tr2bl w:val="nil"/>
            </w:tcBorders>
            <w:shd w:val="clear" w:color="auto" w:fill="auto"/>
            <w:vAlign w:val="center"/>
          </w:tcPr>
          <w:p>
            <w:pPr>
              <w:pStyle w:val="72"/>
              <w:ind w:firstLine="360"/>
            </w:pPr>
          </w:p>
        </w:tc>
        <w:tc>
          <w:tcPr>
            <w:tcW w:w="834" w:type="dxa"/>
            <w:vMerge w:val="continue"/>
            <w:tcBorders>
              <w:tl2br w:val="nil"/>
              <w:tr2bl w:val="nil"/>
            </w:tcBorders>
            <w:shd w:val="clear" w:color="auto" w:fill="auto"/>
            <w:vAlign w:val="center"/>
          </w:tcPr>
          <w:p>
            <w:pPr>
              <w:pStyle w:val="72"/>
              <w:ind w:firstLine="360"/>
            </w:pPr>
          </w:p>
        </w:tc>
        <w:tc>
          <w:tcPr>
            <w:tcW w:w="2191" w:type="dxa"/>
            <w:tcBorders>
              <w:tl2br w:val="nil"/>
              <w:tr2bl w:val="nil"/>
            </w:tcBorders>
            <w:shd w:val="clear" w:color="auto" w:fill="auto"/>
            <w:vAlign w:val="center"/>
          </w:tcPr>
          <w:p>
            <w:pPr>
              <w:pStyle w:val="72"/>
              <w:ind w:firstLine="0" w:firstLineChars="0"/>
            </w:pPr>
            <w:r>
              <w:t>&gt;3m</w:t>
            </w:r>
          </w:p>
        </w:tc>
        <w:tc>
          <w:tcPr>
            <w:tcW w:w="2309" w:type="dxa"/>
            <w:tcBorders>
              <w:tl2br w:val="nil"/>
              <w:tr2bl w:val="nil"/>
            </w:tcBorders>
            <w:shd w:val="clear" w:color="auto" w:fill="auto"/>
            <w:vAlign w:val="center"/>
          </w:tcPr>
          <w:p>
            <w:pPr>
              <w:pStyle w:val="72"/>
              <w:ind w:firstLine="0" w:firstLineChars="0"/>
            </w:pPr>
            <w:r>
              <w:t>5.0</w:t>
            </w:r>
          </w:p>
        </w:tc>
        <w:tc>
          <w:tcPr>
            <w:tcW w:w="2231" w:type="dxa"/>
            <w:vMerge w:val="restart"/>
            <w:tcBorders>
              <w:tl2br w:val="nil"/>
              <w:tr2bl w:val="nil"/>
            </w:tcBorders>
            <w:shd w:val="clear" w:color="auto" w:fill="auto"/>
            <w:vAlign w:val="center"/>
          </w:tcPr>
          <w:p>
            <w:pPr>
              <w:pStyle w:val="72"/>
              <w:ind w:firstLine="0" w:firstLineChars="0"/>
            </w:pPr>
            <w:r>
              <w:t>全站仪检查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57" w:type="dxa"/>
            <w:vMerge w:val="continue"/>
            <w:tcBorders>
              <w:tl2br w:val="nil"/>
              <w:tr2bl w:val="nil"/>
            </w:tcBorders>
            <w:shd w:val="clear" w:color="auto" w:fill="auto"/>
            <w:vAlign w:val="center"/>
          </w:tcPr>
          <w:p>
            <w:pPr>
              <w:pStyle w:val="72"/>
              <w:ind w:firstLine="360"/>
            </w:pPr>
          </w:p>
        </w:tc>
        <w:tc>
          <w:tcPr>
            <w:tcW w:w="834" w:type="dxa"/>
            <w:vMerge w:val="restart"/>
            <w:tcBorders>
              <w:tl2br w:val="nil"/>
              <w:tr2bl w:val="nil"/>
            </w:tcBorders>
            <w:shd w:val="clear" w:color="auto" w:fill="auto"/>
            <w:vAlign w:val="center"/>
          </w:tcPr>
          <w:p>
            <w:pPr>
              <w:pStyle w:val="72"/>
              <w:ind w:firstLine="0" w:firstLineChars="0"/>
            </w:pPr>
            <w:r>
              <w:t>全高</w:t>
            </w:r>
          </w:p>
        </w:tc>
        <w:tc>
          <w:tcPr>
            <w:tcW w:w="2191" w:type="dxa"/>
            <w:tcBorders>
              <w:tl2br w:val="nil"/>
              <w:tr2bl w:val="nil"/>
            </w:tcBorders>
            <w:shd w:val="clear" w:color="auto" w:fill="auto"/>
            <w:vAlign w:val="center"/>
          </w:tcPr>
          <w:p>
            <w:pPr>
              <w:pStyle w:val="72"/>
              <w:ind w:firstLine="0" w:firstLineChars="0"/>
            </w:pPr>
            <w:r>
              <w:t>≤10m</w:t>
            </w:r>
          </w:p>
        </w:tc>
        <w:tc>
          <w:tcPr>
            <w:tcW w:w="2309" w:type="dxa"/>
            <w:tcBorders>
              <w:tl2br w:val="nil"/>
              <w:tr2bl w:val="nil"/>
            </w:tcBorders>
            <w:shd w:val="clear" w:color="auto" w:fill="auto"/>
            <w:vAlign w:val="center"/>
          </w:tcPr>
          <w:p>
            <w:pPr>
              <w:pStyle w:val="72"/>
              <w:ind w:firstLine="0" w:firstLineChars="0"/>
            </w:pPr>
            <w:r>
              <w:t>5.0</w:t>
            </w:r>
          </w:p>
        </w:tc>
        <w:tc>
          <w:tcPr>
            <w:tcW w:w="2231" w:type="dxa"/>
            <w:vMerge w:val="continue"/>
            <w:tcBorders>
              <w:tl2br w:val="nil"/>
              <w:tr2bl w:val="nil"/>
            </w:tcBorders>
            <w:shd w:val="clear" w:color="auto" w:fill="auto"/>
            <w:vAlign w:val="center"/>
          </w:tcPr>
          <w:p>
            <w:pPr>
              <w:pStyle w:val="72"/>
              <w:ind w:firstLine="36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957" w:type="dxa"/>
            <w:vMerge w:val="continue"/>
            <w:tcBorders>
              <w:tl2br w:val="nil"/>
              <w:tr2bl w:val="nil"/>
            </w:tcBorders>
            <w:shd w:val="clear" w:color="auto" w:fill="auto"/>
            <w:vAlign w:val="center"/>
          </w:tcPr>
          <w:p>
            <w:pPr>
              <w:pStyle w:val="72"/>
              <w:ind w:firstLine="360"/>
            </w:pPr>
          </w:p>
        </w:tc>
        <w:tc>
          <w:tcPr>
            <w:tcW w:w="834" w:type="dxa"/>
            <w:vMerge w:val="continue"/>
            <w:tcBorders>
              <w:tl2br w:val="nil"/>
              <w:tr2bl w:val="nil"/>
            </w:tcBorders>
            <w:shd w:val="clear" w:color="auto" w:fill="auto"/>
            <w:vAlign w:val="center"/>
          </w:tcPr>
          <w:p>
            <w:pPr>
              <w:pStyle w:val="72"/>
              <w:ind w:firstLine="360"/>
            </w:pPr>
          </w:p>
        </w:tc>
        <w:tc>
          <w:tcPr>
            <w:tcW w:w="2191" w:type="dxa"/>
            <w:tcBorders>
              <w:tl2br w:val="nil"/>
              <w:tr2bl w:val="nil"/>
            </w:tcBorders>
            <w:shd w:val="clear" w:color="auto" w:fill="auto"/>
            <w:vAlign w:val="center"/>
          </w:tcPr>
          <w:p>
            <w:pPr>
              <w:pStyle w:val="72"/>
              <w:ind w:firstLine="0" w:firstLineChars="0"/>
            </w:pPr>
            <w:r>
              <w:t>&gt;10m</w:t>
            </w:r>
          </w:p>
        </w:tc>
        <w:tc>
          <w:tcPr>
            <w:tcW w:w="2309" w:type="dxa"/>
            <w:tcBorders>
              <w:tl2br w:val="nil"/>
              <w:tr2bl w:val="nil"/>
            </w:tcBorders>
            <w:shd w:val="clear" w:color="auto" w:fill="auto"/>
            <w:vAlign w:val="center"/>
          </w:tcPr>
          <w:p>
            <w:pPr>
              <w:pStyle w:val="72"/>
              <w:ind w:firstLine="0" w:firstLineChars="0"/>
            </w:pPr>
            <w:r>
              <w:t>10.0</w:t>
            </w:r>
          </w:p>
        </w:tc>
        <w:tc>
          <w:tcPr>
            <w:tcW w:w="2231" w:type="dxa"/>
            <w:vMerge w:val="continue"/>
            <w:tcBorders>
              <w:tl2br w:val="nil"/>
              <w:tr2bl w:val="nil"/>
            </w:tcBorders>
            <w:shd w:val="clear" w:color="auto" w:fill="auto"/>
            <w:vAlign w:val="center"/>
          </w:tcPr>
          <w:p>
            <w:pPr>
              <w:pStyle w:val="72"/>
              <w:ind w:firstLine="36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982" w:type="dxa"/>
            <w:gridSpan w:val="3"/>
            <w:tcBorders>
              <w:tl2br w:val="nil"/>
              <w:tr2bl w:val="nil"/>
            </w:tcBorders>
            <w:shd w:val="clear" w:color="auto" w:fill="auto"/>
            <w:vAlign w:val="center"/>
          </w:tcPr>
          <w:p>
            <w:pPr>
              <w:pStyle w:val="72"/>
              <w:ind w:firstLine="360"/>
            </w:pPr>
            <w:r>
              <w:t>相邻单元板平整度</w:t>
            </w:r>
          </w:p>
        </w:tc>
        <w:tc>
          <w:tcPr>
            <w:tcW w:w="2309" w:type="dxa"/>
            <w:tcBorders>
              <w:tl2br w:val="nil"/>
              <w:tr2bl w:val="nil"/>
            </w:tcBorders>
            <w:shd w:val="clear" w:color="auto" w:fill="auto"/>
            <w:vAlign w:val="center"/>
          </w:tcPr>
          <w:p>
            <w:pPr>
              <w:pStyle w:val="72"/>
              <w:ind w:firstLine="0" w:firstLineChars="0"/>
            </w:pPr>
            <w:r>
              <w:t>2.0</w:t>
            </w:r>
          </w:p>
        </w:tc>
        <w:tc>
          <w:tcPr>
            <w:tcW w:w="2231" w:type="dxa"/>
            <w:tcBorders>
              <w:tl2br w:val="nil"/>
              <w:tr2bl w:val="nil"/>
            </w:tcBorders>
            <w:shd w:val="clear" w:color="auto" w:fill="auto"/>
            <w:vAlign w:val="center"/>
          </w:tcPr>
          <w:p>
            <w:pPr>
              <w:pStyle w:val="72"/>
              <w:ind w:firstLine="0" w:firstLineChars="0"/>
            </w:pPr>
            <w:r>
              <w:t>钢尺、塞尺检查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791" w:type="dxa"/>
            <w:gridSpan w:val="2"/>
            <w:vMerge w:val="restart"/>
            <w:tcBorders>
              <w:tl2br w:val="nil"/>
              <w:tr2bl w:val="nil"/>
            </w:tcBorders>
            <w:shd w:val="clear" w:color="auto" w:fill="auto"/>
            <w:vAlign w:val="center"/>
          </w:tcPr>
          <w:p>
            <w:pPr>
              <w:pStyle w:val="72"/>
              <w:ind w:firstLine="0" w:firstLineChars="0"/>
            </w:pPr>
            <w:r>
              <w:t>板接缝</w:t>
            </w:r>
          </w:p>
        </w:tc>
        <w:tc>
          <w:tcPr>
            <w:tcW w:w="2191" w:type="dxa"/>
            <w:tcBorders>
              <w:tl2br w:val="nil"/>
              <w:tr2bl w:val="nil"/>
            </w:tcBorders>
            <w:shd w:val="clear" w:color="auto" w:fill="auto"/>
            <w:vAlign w:val="center"/>
          </w:tcPr>
          <w:p>
            <w:pPr>
              <w:pStyle w:val="72"/>
              <w:ind w:firstLine="0" w:firstLineChars="0"/>
            </w:pPr>
            <w:r>
              <w:t>宽度</w:t>
            </w:r>
          </w:p>
        </w:tc>
        <w:tc>
          <w:tcPr>
            <w:tcW w:w="2309" w:type="dxa"/>
            <w:vMerge w:val="restart"/>
            <w:tcBorders>
              <w:tl2br w:val="nil"/>
              <w:tr2bl w:val="nil"/>
            </w:tcBorders>
            <w:shd w:val="clear" w:color="auto" w:fill="auto"/>
            <w:vAlign w:val="center"/>
          </w:tcPr>
          <w:p>
            <w:pPr>
              <w:pStyle w:val="72"/>
              <w:ind w:firstLine="0" w:firstLineChars="0"/>
            </w:pPr>
            <w:r>
              <w:t>±1.0</w:t>
            </w:r>
          </w:p>
        </w:tc>
        <w:tc>
          <w:tcPr>
            <w:tcW w:w="2231" w:type="dxa"/>
            <w:vMerge w:val="restart"/>
            <w:tcBorders>
              <w:tl2br w:val="nil"/>
              <w:tr2bl w:val="nil"/>
            </w:tcBorders>
            <w:shd w:val="clear" w:color="auto" w:fill="auto"/>
            <w:vAlign w:val="center"/>
          </w:tcPr>
          <w:p>
            <w:pPr>
              <w:pStyle w:val="72"/>
              <w:ind w:firstLine="0" w:firstLineChars="0"/>
            </w:pPr>
            <w:r>
              <w:t>尺量检查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791" w:type="dxa"/>
            <w:gridSpan w:val="2"/>
            <w:vMerge w:val="continue"/>
            <w:tcBorders>
              <w:tl2br w:val="nil"/>
              <w:tr2bl w:val="nil"/>
            </w:tcBorders>
            <w:shd w:val="clear" w:color="auto" w:fill="auto"/>
            <w:vAlign w:val="center"/>
          </w:tcPr>
          <w:p>
            <w:pPr>
              <w:pStyle w:val="72"/>
              <w:ind w:firstLine="360"/>
            </w:pPr>
          </w:p>
        </w:tc>
        <w:tc>
          <w:tcPr>
            <w:tcW w:w="2191" w:type="dxa"/>
            <w:tcBorders>
              <w:tl2br w:val="nil"/>
              <w:tr2bl w:val="nil"/>
            </w:tcBorders>
            <w:shd w:val="clear" w:color="auto" w:fill="auto"/>
            <w:vAlign w:val="center"/>
          </w:tcPr>
          <w:p>
            <w:pPr>
              <w:pStyle w:val="72"/>
              <w:ind w:firstLine="0" w:firstLineChars="0"/>
            </w:pPr>
            <w:r>
              <w:t>中心线位置</w:t>
            </w:r>
          </w:p>
        </w:tc>
        <w:tc>
          <w:tcPr>
            <w:tcW w:w="2309" w:type="dxa"/>
            <w:vMerge w:val="continue"/>
            <w:tcBorders>
              <w:tl2br w:val="nil"/>
              <w:tr2bl w:val="nil"/>
            </w:tcBorders>
            <w:shd w:val="clear" w:color="auto" w:fill="auto"/>
            <w:vAlign w:val="center"/>
          </w:tcPr>
          <w:p>
            <w:pPr>
              <w:pStyle w:val="72"/>
              <w:ind w:firstLine="360"/>
            </w:pPr>
          </w:p>
        </w:tc>
        <w:tc>
          <w:tcPr>
            <w:tcW w:w="2231" w:type="dxa"/>
            <w:vMerge w:val="continue"/>
            <w:tcBorders>
              <w:tl2br w:val="nil"/>
              <w:tr2bl w:val="nil"/>
            </w:tcBorders>
            <w:shd w:val="clear" w:color="auto" w:fill="auto"/>
            <w:vAlign w:val="center"/>
          </w:tcPr>
          <w:p>
            <w:pPr>
              <w:pStyle w:val="72"/>
              <w:ind w:firstLine="360"/>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82" w:type="dxa"/>
            <w:gridSpan w:val="3"/>
            <w:tcBorders>
              <w:tl2br w:val="nil"/>
              <w:tr2bl w:val="nil"/>
            </w:tcBorders>
            <w:shd w:val="clear" w:color="auto" w:fill="auto"/>
            <w:vAlign w:val="center"/>
          </w:tcPr>
          <w:p>
            <w:pPr>
              <w:pStyle w:val="72"/>
              <w:ind w:firstLine="0" w:firstLineChars="0"/>
            </w:pPr>
            <w:r>
              <w:t>门窗洞口尺寸</w:t>
            </w:r>
          </w:p>
        </w:tc>
        <w:tc>
          <w:tcPr>
            <w:tcW w:w="2309" w:type="dxa"/>
            <w:tcBorders>
              <w:tl2br w:val="nil"/>
              <w:tr2bl w:val="nil"/>
            </w:tcBorders>
            <w:shd w:val="clear" w:color="auto" w:fill="auto"/>
            <w:vAlign w:val="center"/>
          </w:tcPr>
          <w:p>
            <w:pPr>
              <w:pStyle w:val="72"/>
              <w:ind w:firstLine="0" w:firstLineChars="0"/>
            </w:pPr>
            <w:r>
              <w:t>±5.0</w:t>
            </w:r>
          </w:p>
        </w:tc>
        <w:tc>
          <w:tcPr>
            <w:tcW w:w="2231" w:type="dxa"/>
            <w:tcBorders>
              <w:tl2br w:val="nil"/>
              <w:tr2bl w:val="nil"/>
            </w:tcBorders>
            <w:shd w:val="clear" w:color="auto" w:fill="auto"/>
            <w:vAlign w:val="center"/>
          </w:tcPr>
          <w:p>
            <w:pPr>
              <w:pStyle w:val="72"/>
              <w:ind w:firstLine="0" w:firstLineChars="0"/>
            </w:pPr>
            <w:r>
              <w:t>尺量检查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82" w:type="dxa"/>
            <w:gridSpan w:val="3"/>
            <w:tcBorders>
              <w:tl2br w:val="nil"/>
              <w:tr2bl w:val="nil"/>
            </w:tcBorders>
            <w:shd w:val="clear" w:color="auto" w:fill="auto"/>
            <w:vAlign w:val="center"/>
          </w:tcPr>
          <w:p>
            <w:pPr>
              <w:pStyle w:val="72"/>
              <w:ind w:firstLine="0" w:firstLineChars="0"/>
            </w:pPr>
            <w:r>
              <w:t>上下层门窗洞口偏移</w:t>
            </w:r>
          </w:p>
        </w:tc>
        <w:tc>
          <w:tcPr>
            <w:tcW w:w="2309" w:type="dxa"/>
            <w:tcBorders>
              <w:tl2br w:val="nil"/>
              <w:tr2bl w:val="nil"/>
            </w:tcBorders>
            <w:shd w:val="clear" w:color="auto" w:fill="auto"/>
            <w:vAlign w:val="center"/>
          </w:tcPr>
          <w:p>
            <w:pPr>
              <w:pStyle w:val="72"/>
              <w:ind w:firstLine="0" w:firstLineChars="0"/>
            </w:pPr>
            <w:r>
              <w:t>±3.0</w:t>
            </w:r>
          </w:p>
        </w:tc>
        <w:tc>
          <w:tcPr>
            <w:tcW w:w="2231" w:type="dxa"/>
            <w:tcBorders>
              <w:tl2br w:val="nil"/>
              <w:tr2bl w:val="nil"/>
            </w:tcBorders>
            <w:shd w:val="clear" w:color="auto" w:fill="auto"/>
            <w:vAlign w:val="center"/>
          </w:tcPr>
          <w:p>
            <w:pPr>
              <w:pStyle w:val="72"/>
              <w:ind w:firstLine="0" w:firstLineChars="0"/>
            </w:pPr>
            <w:r>
              <w:t>垂线和尺量检查</w:t>
            </w:r>
          </w:p>
        </w:tc>
      </w:tr>
    </w:tbl>
    <w:p>
      <w:pPr>
        <w:pStyle w:val="4"/>
        <w:keepNext w:val="0"/>
        <w:keepLines w:val="0"/>
        <w:ind w:left="0"/>
      </w:pPr>
      <w:r>
        <w:t>内隔墙安装尺寸最大允许偏差及检验方法，应符合表10.3.7规定。</w:t>
      </w:r>
    </w:p>
    <w:p>
      <w:pPr>
        <w:pStyle w:val="71"/>
        <w:ind w:firstLine="361"/>
      </w:pPr>
      <w:r>
        <w:t>表10.3.7 内隔墙安装尺寸最大允许偏差及检验方法</w:t>
      </w:r>
    </w:p>
    <w:tbl>
      <w:tblPr>
        <w:tblStyle w:val="43"/>
        <w:tblW w:w="8560" w:type="dxa"/>
        <w:tblInd w:w="4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711"/>
        <w:gridCol w:w="2371"/>
        <w:gridCol w:w="2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0" w:firstLineChars="0"/>
            </w:pPr>
            <w:r>
              <w:t>项次</w:t>
            </w:r>
          </w:p>
        </w:tc>
        <w:tc>
          <w:tcPr>
            <w:tcW w:w="2711" w:type="dxa"/>
            <w:tcBorders>
              <w:tl2br w:val="nil"/>
              <w:tr2bl w:val="nil"/>
            </w:tcBorders>
            <w:shd w:val="clear" w:color="auto" w:fill="auto"/>
            <w:vAlign w:val="center"/>
          </w:tcPr>
          <w:p>
            <w:pPr>
              <w:pStyle w:val="72"/>
              <w:ind w:firstLine="0" w:firstLineChars="0"/>
            </w:pPr>
            <w:r>
              <w:t>项目名称</w:t>
            </w:r>
          </w:p>
        </w:tc>
        <w:tc>
          <w:tcPr>
            <w:tcW w:w="2371" w:type="dxa"/>
            <w:tcBorders>
              <w:tl2br w:val="nil"/>
              <w:tr2bl w:val="nil"/>
            </w:tcBorders>
            <w:shd w:val="clear" w:color="auto" w:fill="auto"/>
            <w:vAlign w:val="center"/>
          </w:tcPr>
          <w:p>
            <w:pPr>
              <w:pStyle w:val="72"/>
              <w:ind w:firstLine="0" w:firstLineChars="0"/>
            </w:pPr>
            <w:r>
              <w:t>允许误差（mm）</w:t>
            </w:r>
          </w:p>
        </w:tc>
        <w:tc>
          <w:tcPr>
            <w:tcW w:w="2633" w:type="dxa"/>
            <w:tcBorders>
              <w:tl2br w:val="nil"/>
              <w:tr2bl w:val="nil"/>
            </w:tcBorders>
            <w:shd w:val="clear" w:color="auto" w:fill="auto"/>
            <w:vAlign w:val="center"/>
          </w:tcPr>
          <w:p>
            <w:pPr>
              <w:pStyle w:val="72"/>
              <w:ind w:firstLine="0" w:firstLineChars="0"/>
            </w:pPr>
            <w: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1</w:t>
            </w:r>
          </w:p>
        </w:tc>
        <w:tc>
          <w:tcPr>
            <w:tcW w:w="2711" w:type="dxa"/>
            <w:tcBorders>
              <w:tl2br w:val="nil"/>
              <w:tr2bl w:val="nil"/>
            </w:tcBorders>
            <w:shd w:val="clear" w:color="auto" w:fill="auto"/>
            <w:vAlign w:val="center"/>
          </w:tcPr>
          <w:p>
            <w:pPr>
              <w:pStyle w:val="72"/>
              <w:ind w:firstLine="0" w:firstLineChars="0"/>
            </w:pPr>
            <w:r>
              <w:t>墙面轴线位置</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经纬仪、拉线、尺量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2</w:t>
            </w:r>
          </w:p>
        </w:tc>
        <w:tc>
          <w:tcPr>
            <w:tcW w:w="2711" w:type="dxa"/>
            <w:tcBorders>
              <w:tl2br w:val="nil"/>
              <w:tr2bl w:val="nil"/>
            </w:tcBorders>
            <w:shd w:val="clear" w:color="auto" w:fill="auto"/>
            <w:vAlign w:val="center"/>
          </w:tcPr>
          <w:p>
            <w:pPr>
              <w:pStyle w:val="72"/>
              <w:ind w:firstLine="0" w:firstLineChars="0"/>
            </w:pPr>
            <w:r>
              <w:t>层间墙面垂直度</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2m托线板，吊垂线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3</w:t>
            </w:r>
          </w:p>
        </w:tc>
        <w:tc>
          <w:tcPr>
            <w:tcW w:w="2711" w:type="dxa"/>
            <w:tcBorders>
              <w:tl2br w:val="nil"/>
              <w:tr2bl w:val="nil"/>
            </w:tcBorders>
            <w:shd w:val="clear" w:color="auto" w:fill="auto"/>
            <w:vAlign w:val="center"/>
          </w:tcPr>
          <w:p>
            <w:pPr>
              <w:pStyle w:val="72"/>
              <w:ind w:firstLine="0" w:firstLineChars="0"/>
            </w:pPr>
            <w:r>
              <w:t>板缝垂直度</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2m托线板，吊垂线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4</w:t>
            </w:r>
          </w:p>
        </w:tc>
        <w:tc>
          <w:tcPr>
            <w:tcW w:w="2711" w:type="dxa"/>
            <w:tcBorders>
              <w:tl2br w:val="nil"/>
              <w:tr2bl w:val="nil"/>
            </w:tcBorders>
            <w:shd w:val="clear" w:color="auto" w:fill="auto"/>
            <w:vAlign w:val="center"/>
          </w:tcPr>
          <w:p>
            <w:pPr>
              <w:pStyle w:val="72"/>
              <w:ind w:firstLine="0" w:firstLineChars="0"/>
            </w:pPr>
            <w:r>
              <w:t>板缝水平度</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拉线、尺量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5</w:t>
            </w:r>
          </w:p>
        </w:tc>
        <w:tc>
          <w:tcPr>
            <w:tcW w:w="2711" w:type="dxa"/>
            <w:tcBorders>
              <w:tl2br w:val="nil"/>
              <w:tr2bl w:val="nil"/>
            </w:tcBorders>
            <w:shd w:val="clear" w:color="auto" w:fill="auto"/>
            <w:vAlign w:val="center"/>
          </w:tcPr>
          <w:p>
            <w:pPr>
              <w:pStyle w:val="72"/>
              <w:ind w:firstLine="0" w:firstLineChars="0"/>
            </w:pPr>
            <w:r>
              <w:t>表面平整度</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2m靠尺、塞尺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5" w:type="dxa"/>
            <w:tcBorders>
              <w:tl2br w:val="nil"/>
              <w:tr2bl w:val="nil"/>
            </w:tcBorders>
            <w:shd w:val="clear" w:color="auto" w:fill="auto"/>
            <w:vAlign w:val="center"/>
          </w:tcPr>
          <w:p>
            <w:pPr>
              <w:pStyle w:val="72"/>
              <w:ind w:firstLine="360"/>
              <w:jc w:val="both"/>
            </w:pPr>
            <w:r>
              <w:t>6</w:t>
            </w:r>
          </w:p>
        </w:tc>
        <w:tc>
          <w:tcPr>
            <w:tcW w:w="2711" w:type="dxa"/>
            <w:tcBorders>
              <w:tl2br w:val="nil"/>
              <w:tr2bl w:val="nil"/>
            </w:tcBorders>
            <w:shd w:val="clear" w:color="auto" w:fill="auto"/>
            <w:vAlign w:val="center"/>
          </w:tcPr>
          <w:p>
            <w:pPr>
              <w:pStyle w:val="72"/>
              <w:ind w:firstLine="0" w:firstLineChars="0"/>
            </w:pPr>
            <w:r>
              <w:t>拼缝误差</w:t>
            </w:r>
          </w:p>
        </w:tc>
        <w:tc>
          <w:tcPr>
            <w:tcW w:w="2371" w:type="dxa"/>
            <w:tcBorders>
              <w:tl2br w:val="nil"/>
              <w:tr2bl w:val="nil"/>
            </w:tcBorders>
            <w:shd w:val="clear" w:color="auto" w:fill="auto"/>
            <w:vAlign w:val="center"/>
          </w:tcPr>
          <w:p>
            <w:pPr>
              <w:pStyle w:val="72"/>
              <w:ind w:firstLine="0" w:firstLineChars="0"/>
            </w:pPr>
            <w:r>
              <w:t>1.0</w:t>
            </w:r>
          </w:p>
        </w:tc>
        <w:tc>
          <w:tcPr>
            <w:tcW w:w="2633" w:type="dxa"/>
            <w:tcBorders>
              <w:tl2br w:val="nil"/>
              <w:tr2bl w:val="nil"/>
            </w:tcBorders>
            <w:shd w:val="clear" w:color="auto" w:fill="auto"/>
            <w:vAlign w:val="center"/>
          </w:tcPr>
          <w:p>
            <w:pPr>
              <w:pStyle w:val="72"/>
              <w:ind w:firstLine="0" w:firstLineChars="0"/>
            </w:pPr>
            <w: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5" w:type="dxa"/>
            <w:tcBorders>
              <w:tl2br w:val="nil"/>
              <w:tr2bl w:val="nil"/>
            </w:tcBorders>
            <w:shd w:val="clear" w:color="auto" w:fill="auto"/>
            <w:vAlign w:val="center"/>
          </w:tcPr>
          <w:p>
            <w:pPr>
              <w:pStyle w:val="72"/>
              <w:ind w:firstLine="360"/>
              <w:jc w:val="both"/>
            </w:pPr>
            <w:r>
              <w:t>7</w:t>
            </w:r>
          </w:p>
        </w:tc>
        <w:tc>
          <w:tcPr>
            <w:tcW w:w="2711" w:type="dxa"/>
            <w:tcBorders>
              <w:tl2br w:val="nil"/>
              <w:tr2bl w:val="nil"/>
            </w:tcBorders>
            <w:shd w:val="clear" w:color="auto" w:fill="auto"/>
            <w:vAlign w:val="center"/>
          </w:tcPr>
          <w:p>
            <w:pPr>
              <w:pStyle w:val="72"/>
              <w:ind w:firstLine="0" w:firstLineChars="0"/>
            </w:pPr>
            <w:r>
              <w:t>洞口位移</w:t>
            </w:r>
          </w:p>
        </w:tc>
        <w:tc>
          <w:tcPr>
            <w:tcW w:w="2371" w:type="dxa"/>
            <w:tcBorders>
              <w:tl2br w:val="nil"/>
              <w:tr2bl w:val="nil"/>
            </w:tcBorders>
            <w:shd w:val="clear" w:color="auto" w:fill="auto"/>
            <w:vAlign w:val="center"/>
          </w:tcPr>
          <w:p>
            <w:pPr>
              <w:pStyle w:val="72"/>
              <w:ind w:firstLine="0" w:firstLineChars="0"/>
            </w:pPr>
            <w:r>
              <w:t>±3.0</w:t>
            </w:r>
          </w:p>
        </w:tc>
        <w:tc>
          <w:tcPr>
            <w:tcW w:w="2633" w:type="dxa"/>
            <w:tcBorders>
              <w:tl2br w:val="nil"/>
              <w:tr2bl w:val="nil"/>
            </w:tcBorders>
            <w:shd w:val="clear" w:color="auto" w:fill="auto"/>
            <w:vAlign w:val="center"/>
          </w:tcPr>
          <w:p>
            <w:pPr>
              <w:pStyle w:val="72"/>
              <w:ind w:firstLine="0" w:firstLineChars="0"/>
            </w:pPr>
            <w:r>
              <w:t>尺量</w:t>
            </w:r>
          </w:p>
        </w:tc>
      </w:tr>
    </w:tbl>
    <w:p>
      <w:pPr>
        <w:pStyle w:val="4"/>
        <w:keepNext w:val="0"/>
        <w:keepLines w:val="0"/>
        <w:ind w:left="0"/>
      </w:pPr>
      <w:r>
        <w:t>当墙板部品与主体结构采用焊接或螺栓连接时，连接部位验收可按现行国家标准《钢结构工程施工质量验收规范》GB 50205和《钢结构焊接规范》GB 50661的规定执行。</w:t>
      </w:r>
    </w:p>
    <w:p>
      <w:pPr>
        <w:pStyle w:val="4"/>
        <w:keepNext w:val="0"/>
        <w:keepLines w:val="0"/>
        <w:ind w:left="0"/>
      </w:pPr>
      <w:r>
        <w:t>墙板系统的保温和隔热工程质量验收应按现行国家标准《建筑节能工程施工质量验收标准》GB 50411的规定执行。</w:t>
      </w:r>
    </w:p>
    <w:p>
      <w:pPr>
        <w:pStyle w:val="4"/>
        <w:keepNext w:val="0"/>
        <w:keepLines w:val="0"/>
        <w:ind w:left="0"/>
      </w:pPr>
      <w:r>
        <w:t>外墙板系统的门窗工程、涂饰工程质量验收应按现行国家标准《建筑装饰装修工程质量验收标准》GB 50210的规定执行。</w:t>
      </w:r>
    </w:p>
    <w:p>
      <w:pPr>
        <w:pStyle w:val="4"/>
        <w:keepNext w:val="0"/>
        <w:keepLines w:val="0"/>
        <w:ind w:left="0"/>
      </w:pPr>
      <w:r>
        <w:t>蒸压加气混凝土墙板质量验收应按现行国家标准《蒸压加气混凝土制品应用技术标准》JGJ/T 17的规定执行。</w:t>
      </w:r>
    </w:p>
    <w:p>
      <w:pPr>
        <w:pStyle w:val="4"/>
        <w:keepNext w:val="0"/>
        <w:keepLines w:val="0"/>
        <w:ind w:left="0"/>
      </w:pPr>
      <w:r>
        <w:t>幕墙工程质量验收应按现行行业标准《玻璃幕墙工程技术规范》JGJ 102、《金属与石材幕墙工程技术规范》JGJ 133及《人造板材工程技术规范》JGJ 336规定执行。</w:t>
      </w:r>
    </w:p>
    <w:p>
      <w:pPr>
        <w:pStyle w:val="3"/>
        <w:keepNext w:val="0"/>
        <w:keepLines w:val="0"/>
        <w:spacing w:before="217" w:after="217"/>
        <w:ind w:firstLine="482"/>
        <w:rPr>
          <w:rFonts w:hAnsi="Calibri" w:cs="Calibri" w:asciiTheme="minorHAnsi"/>
        </w:rPr>
      </w:pPr>
      <w:bookmarkStart w:id="99" w:name="_Toc36207187"/>
      <w:bookmarkStart w:id="100" w:name="_Toc14156"/>
      <w:r>
        <w:rPr>
          <w:rFonts w:hAnsi="Calibri" w:cs="Calibri" w:asciiTheme="minorHAnsi"/>
        </w:rPr>
        <w:t>设备机电系统验收</w:t>
      </w:r>
      <w:bookmarkEnd w:id="99"/>
      <w:bookmarkEnd w:id="100"/>
    </w:p>
    <w:p>
      <w:pPr>
        <w:pStyle w:val="4"/>
        <w:keepNext w:val="0"/>
        <w:keepLines w:val="0"/>
        <w:ind w:left="0"/>
      </w:pPr>
      <w:r>
        <w:t>建筑给水排水及采暖工程的施工质量要求和验收标准应按现行国家标准《建筑给水排水及采暖工程施工质量验收规范》GB 50242的规定执行。</w:t>
      </w:r>
    </w:p>
    <w:p>
      <w:pPr>
        <w:pStyle w:val="4"/>
        <w:keepNext w:val="0"/>
        <w:keepLines w:val="0"/>
        <w:ind w:left="0"/>
      </w:pPr>
      <w:r>
        <w:t>自动喷水灭火系统的施工质量要求和验收标准应按现行国家标准《自动喷水灭火系统施工及验收规范》GB 50261的规定执行。</w:t>
      </w:r>
    </w:p>
    <w:p>
      <w:pPr>
        <w:pStyle w:val="4"/>
        <w:keepNext w:val="0"/>
        <w:keepLines w:val="0"/>
        <w:ind w:left="0"/>
      </w:pPr>
      <w:r>
        <w:t>消防给水系统及室内消火栓系统的施工质量要求和验收标准应按现行国家标准《消防给水及消火栓系统技术规范》GB 50974的规定执行。</w:t>
      </w:r>
    </w:p>
    <w:p>
      <w:pPr>
        <w:pStyle w:val="4"/>
        <w:keepNext w:val="0"/>
        <w:keepLines w:val="0"/>
        <w:ind w:left="0"/>
      </w:pPr>
      <w:r>
        <w:t>通风与空调工程的施工质量要求和验收标准应按现行国家标准《通风与空调工程施工质量验收规范》GB 50243的规定执行。</w:t>
      </w:r>
    </w:p>
    <w:p>
      <w:pPr>
        <w:pStyle w:val="4"/>
        <w:keepNext w:val="0"/>
        <w:keepLines w:val="0"/>
        <w:ind w:left="0"/>
      </w:pPr>
      <w:r>
        <w:t>建筑电气工程的施工质量要求和验收标准应按现行国家标准《建筑电气工程施工质量验收规范》GB 50303的规定执行。</w:t>
      </w:r>
    </w:p>
    <w:p>
      <w:pPr>
        <w:pStyle w:val="4"/>
        <w:keepNext w:val="0"/>
        <w:keepLines w:val="0"/>
        <w:ind w:left="0"/>
      </w:pPr>
      <w:r>
        <w:t>火灾自动报警系统的施工质量要求和验收标准应按现行国家标准《火灾自动报警系统施工及验收标准》GB 50166的规定执行。</w:t>
      </w:r>
    </w:p>
    <w:p>
      <w:pPr>
        <w:pStyle w:val="4"/>
        <w:keepNext w:val="0"/>
        <w:keepLines w:val="0"/>
        <w:ind w:left="0"/>
      </w:pPr>
      <w:r>
        <w:t>智能化系统施工质量要求和验收标准应按现行国家标准《智能建筑工程质量验收规范》GB 50339的规定执行。</w:t>
      </w:r>
    </w:p>
    <w:p>
      <w:pPr>
        <w:pStyle w:val="4"/>
        <w:keepNext w:val="0"/>
        <w:keepLines w:val="0"/>
        <w:ind w:left="0"/>
        <w:rPr>
          <w:rFonts w:hAnsi="Calibri" w:cs="Calibri" w:asciiTheme="minorHAnsi"/>
        </w:rPr>
      </w:pPr>
      <w:r>
        <w:rPr>
          <w:rFonts w:hAnsi="Calibri" w:cs="Calibri" w:asciiTheme="minorHAnsi"/>
        </w:rPr>
        <w:t>暗敷在轻质墙体、楼板和吊顶中的管线、设备应在验收合格并形成记录后方可隐蔽。</w:t>
      </w:r>
    </w:p>
    <w:p>
      <w:pPr>
        <w:pStyle w:val="3"/>
        <w:keepNext w:val="0"/>
        <w:keepLines w:val="0"/>
        <w:spacing w:before="217" w:after="217"/>
        <w:ind w:firstLine="482"/>
        <w:rPr>
          <w:rFonts w:hAnsi="Calibri" w:cs="Calibri" w:asciiTheme="minorHAnsi"/>
        </w:rPr>
      </w:pPr>
      <w:bookmarkStart w:id="101" w:name="_Toc36207188"/>
      <w:bookmarkStart w:id="102" w:name="_Toc25515"/>
      <w:r>
        <w:rPr>
          <w:rFonts w:hAnsi="Calibri" w:cs="Calibri" w:asciiTheme="minorHAnsi"/>
        </w:rPr>
        <w:t>装饰装修验收</w:t>
      </w:r>
      <w:bookmarkEnd w:id="101"/>
      <w:bookmarkEnd w:id="102"/>
    </w:p>
    <w:p>
      <w:pPr>
        <w:pStyle w:val="4"/>
        <w:keepNext w:val="0"/>
        <w:keepLines w:val="0"/>
        <w:ind w:left="0"/>
        <w:rPr>
          <w:rFonts w:hAnsi="Calibri" w:cs="Calibri" w:asciiTheme="minorHAnsi"/>
        </w:rPr>
      </w:pPr>
      <w:r>
        <w:rPr>
          <w:rFonts w:hint="eastAsia" w:hAnsi="Calibri" w:cs="Calibri" w:asciiTheme="minorHAnsi"/>
        </w:rPr>
        <w:t>装配式</w:t>
      </w:r>
      <w:r>
        <w:rPr>
          <w:rFonts w:hAnsi="Calibri" w:cs="Calibri" w:asciiTheme="minorHAnsi"/>
        </w:rPr>
        <w:t>开孔钢板</w:t>
      </w:r>
      <w:r>
        <w:rPr>
          <w:rFonts w:hint="eastAsia" w:hAnsi="Calibri" w:cs="Calibri" w:asciiTheme="minorHAnsi"/>
        </w:rPr>
        <w:t>组合</w:t>
      </w:r>
      <w:r>
        <w:rPr>
          <w:rFonts w:hAnsi="Calibri" w:cs="Calibri" w:asciiTheme="minorHAnsi"/>
        </w:rPr>
        <w:t>剪力墙建筑内装系统工程宜与结构系统工程同步施工，分层分阶段验收。</w:t>
      </w:r>
    </w:p>
    <w:p>
      <w:pPr>
        <w:pStyle w:val="4"/>
        <w:keepNext w:val="0"/>
        <w:keepLines w:val="0"/>
        <w:ind w:left="0"/>
        <w:rPr>
          <w:rFonts w:hAnsi="Calibri" w:cs="Calibri" w:asciiTheme="minorHAnsi"/>
        </w:rPr>
      </w:pPr>
      <w:r>
        <w:rPr>
          <w:rFonts w:hAnsi="Calibri" w:cs="Calibri" w:asciiTheme="minorHAnsi"/>
        </w:rPr>
        <w:t>内装工程验收应符合下列规定：</w:t>
      </w:r>
    </w:p>
    <w:p>
      <w:pPr>
        <w:ind w:firstLine="422"/>
      </w:pPr>
      <w:r>
        <w:rPr>
          <w:b/>
          <w:bCs/>
        </w:rPr>
        <w:t>1</w:t>
      </w:r>
      <w:r>
        <w:t xml:space="preserve"> 对住宅区域内装工程应进行分户质量验收、分段竣工验收。</w:t>
      </w:r>
    </w:p>
    <w:p>
      <w:pPr>
        <w:ind w:firstLine="422"/>
      </w:pPr>
      <w:r>
        <w:rPr>
          <w:b/>
          <w:bCs/>
        </w:rPr>
        <w:t>2</w:t>
      </w:r>
      <w:r>
        <w:t xml:space="preserve"> 对公共区域内装工程应按照功能区间进行分段质量验收。</w:t>
      </w:r>
    </w:p>
    <w:p>
      <w:pPr>
        <w:pStyle w:val="74"/>
        <w:ind w:firstLine="400"/>
      </w:pPr>
      <w:r>
        <w:t>【条文说明】</w:t>
      </w:r>
    </w:p>
    <w:p>
      <w:pPr>
        <w:pStyle w:val="74"/>
        <w:ind w:firstLine="400"/>
      </w:pPr>
      <w:r>
        <w:t>1 分户质量验收，即“一户一验”，是指住宅工程在按照国家有关规范、标准要求进行工程竣工验收时，对每一户住宅及单位工程公共部位进行专门验收；住宅建筑分段竣工验收是指按照施工部位，某几层划分为一个阶段，对这一个阶段进行单独验收。</w:t>
      </w:r>
    </w:p>
    <w:p>
      <w:pPr>
        <w:pStyle w:val="74"/>
        <w:ind w:firstLine="400"/>
      </w:pPr>
      <w:r>
        <w:t>2 公共建筑分段质量验收是指按照施工部位，某几层或某几个功能区间划分为一个阶段，对这一个阶段进行单独验收。</w:t>
      </w:r>
    </w:p>
    <w:p>
      <w:pPr>
        <w:pStyle w:val="4"/>
        <w:keepNext w:val="0"/>
        <w:keepLines w:val="0"/>
        <w:ind w:left="0"/>
      </w:pPr>
      <w:r>
        <w:t>装配式内装系统质量验收应符合现行国家</w:t>
      </w:r>
      <w:r>
        <w:rPr>
          <w:rFonts w:hint="eastAsia"/>
        </w:rPr>
        <w:t>及行业</w:t>
      </w:r>
      <w:r>
        <w:t>标准《建筑装饰装修工程质量验收标准》GB 50210、《公共建筑吊顶工程技术规程》JGJ 345、《建筑轻质条板隔墙技术规程》JGJ/T 157等的相关规定。</w:t>
      </w:r>
    </w:p>
    <w:p>
      <w:pPr>
        <w:pStyle w:val="4"/>
        <w:keepNext w:val="0"/>
        <w:keepLines w:val="0"/>
        <w:ind w:left="0"/>
      </w:pPr>
      <w:r>
        <w:t>室内环境的验收应在内装工程完成后进行，并应符合现行国家标准《民用建筑工程室内环境污染控制标准》GB 50325的相关规定。</w:t>
      </w:r>
    </w:p>
    <w:p>
      <w:pPr>
        <w:pStyle w:val="3"/>
        <w:keepNext w:val="0"/>
        <w:keepLines w:val="0"/>
        <w:spacing w:before="217" w:after="217"/>
        <w:ind w:firstLine="482"/>
        <w:rPr>
          <w:rFonts w:hAnsi="Calibri" w:cs="Calibri" w:asciiTheme="minorHAnsi"/>
        </w:rPr>
      </w:pPr>
      <w:bookmarkStart w:id="103" w:name="_Toc30575"/>
      <w:bookmarkStart w:id="104" w:name="_Toc36207189"/>
      <w:r>
        <w:rPr>
          <w:rFonts w:hAnsi="Calibri" w:cs="Calibri" w:asciiTheme="minorHAnsi"/>
        </w:rPr>
        <w:t>竣工验收</w:t>
      </w:r>
      <w:bookmarkEnd w:id="103"/>
      <w:bookmarkEnd w:id="104"/>
    </w:p>
    <w:p>
      <w:pPr>
        <w:pStyle w:val="4"/>
        <w:keepNext w:val="0"/>
        <w:keepLines w:val="0"/>
        <w:ind w:left="0"/>
        <w:rPr>
          <w:rFonts w:hAnsi="Calibri" w:cs="Calibri" w:asciiTheme="minorHAnsi"/>
        </w:rPr>
      </w:pPr>
      <w:r>
        <w:rPr>
          <w:rFonts w:hAnsi="Calibri" w:cs="Calibri" w:asciiTheme="minorHAnsi"/>
        </w:rPr>
        <w:t>竣工验收的步骤可按验前准备、竣工预验收和正式验收三个环节进行。单位工程完工后，施工单位应组织有关人员进行自检。总监理工程师应组织各专业监理工程师对工程质量进行竣工预验收。建设单位收到工程竣工验收报告后，应由建设单位项目负责人组织监理、施工、设计、勘察等单位项目负责人进行单位工程验收。</w:t>
      </w:r>
    </w:p>
    <w:p>
      <w:pPr>
        <w:pStyle w:val="4"/>
        <w:keepNext w:val="0"/>
        <w:keepLines w:val="0"/>
        <w:ind w:left="0"/>
        <w:rPr>
          <w:rFonts w:hAnsi="Calibri" w:cs="Calibri" w:asciiTheme="minorHAnsi"/>
        </w:rPr>
      </w:pPr>
      <w:r>
        <w:rPr>
          <w:rFonts w:hAnsi="Calibri" w:cs="Calibri" w:asciiTheme="minorHAnsi"/>
        </w:rPr>
        <w:t>施工单位应在交付使用前与建设单位签署质量保修书，并提供使用、保养、维护说明书。</w:t>
      </w:r>
    </w:p>
    <w:p>
      <w:pPr>
        <w:pStyle w:val="4"/>
        <w:keepNext w:val="0"/>
        <w:keepLines w:val="0"/>
        <w:ind w:left="0"/>
        <w:rPr>
          <w:rFonts w:hAnsi="Calibri" w:cs="Calibri" w:asciiTheme="minorHAnsi"/>
        </w:rPr>
      </w:pPr>
      <w:r>
        <w:rPr>
          <w:rFonts w:hAnsi="Calibri" w:cs="Calibri" w:asciiTheme="minorHAnsi"/>
        </w:rPr>
        <w:t>建设单位应当在竣工验收合格后，按《建设工程质量管理条例》的规定向备案机关备案，并提供相应的文件。</w:t>
      </w:r>
    </w:p>
    <w:p>
      <w:pPr>
        <w:rPr>
          <w:rFonts w:hAnsi="Calibri" w:cs="Calibri" w:asciiTheme="minorHAnsi"/>
        </w:rPr>
      </w:pPr>
    </w:p>
    <w:p>
      <w:pPr>
        <w:widowControl/>
        <w:spacing w:line="240" w:lineRule="auto"/>
        <w:rPr>
          <w:rFonts w:hAnsi="Calibri" w:cs="Calibri" w:asciiTheme="minorHAnsi"/>
          <w:b/>
          <w:bCs/>
          <w:kern w:val="44"/>
          <w:sz w:val="32"/>
          <w:szCs w:val="44"/>
        </w:rPr>
      </w:pPr>
      <w:r>
        <w:rPr>
          <w:rFonts w:hAnsi="Calibri" w:cs="Calibri" w:asciiTheme="minorHAnsi"/>
        </w:rPr>
        <w:br w:type="page"/>
      </w:r>
    </w:p>
    <w:p>
      <w:pPr>
        <w:pStyle w:val="2"/>
        <w:spacing w:before="156" w:after="156"/>
        <w:ind w:firstLine="643"/>
        <w:rPr>
          <w:rFonts w:hAnsi="Calibri" w:cs="Calibri" w:asciiTheme="minorHAnsi"/>
          <w:u w:val="single"/>
        </w:rPr>
      </w:pPr>
      <w:bookmarkStart w:id="105" w:name="_Toc7020"/>
      <w:bookmarkStart w:id="106" w:name="_Toc36207190"/>
      <w:r>
        <w:rPr>
          <w:rFonts w:hAnsi="Calibri" w:cs="Calibri" w:asciiTheme="minorHAnsi"/>
        </w:rPr>
        <w:t>使用与维护</w:t>
      </w:r>
      <w:bookmarkEnd w:id="105"/>
      <w:bookmarkEnd w:id="106"/>
    </w:p>
    <w:p>
      <w:pPr>
        <w:pStyle w:val="3"/>
        <w:keepNext w:val="0"/>
        <w:keepLines w:val="0"/>
        <w:ind w:firstLine="482"/>
        <w:rPr>
          <w:rFonts w:hAnsi="Calibri" w:cs="Calibri" w:asciiTheme="minorHAnsi"/>
        </w:rPr>
      </w:pPr>
      <w:bookmarkStart w:id="107" w:name="_Toc36207191"/>
      <w:bookmarkStart w:id="108" w:name="_Toc21447"/>
      <w:r>
        <w:rPr>
          <w:rFonts w:hAnsi="Calibri" w:cs="Calibri" w:asciiTheme="minorHAnsi"/>
        </w:rPr>
        <w:t>一般规定</w:t>
      </w:r>
      <w:bookmarkEnd w:id="107"/>
      <w:bookmarkEnd w:id="108"/>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剪力墙住宅的设计文件应注明其设计条件、使用性质及使用环境。</w:t>
      </w:r>
    </w:p>
    <w:p>
      <w:pPr>
        <w:pStyle w:val="74"/>
        <w:widowControl w:val="0"/>
        <w:ind w:firstLine="400"/>
      </w:pPr>
      <w:r>
        <w:t>【条文说明】沿用现行国家标准GB/T 51232。建筑的设计条件、使用性质及使用环境是建筑设计、施工、验收、使用和维护的基本前提</w:t>
      </w:r>
      <w:r>
        <w:rPr>
          <w:rFonts w:hint="eastAsia"/>
        </w:rPr>
        <w:t>。</w:t>
      </w:r>
      <w:r>
        <w:t>建筑的使用荷载和装饰装修的改变，会影响建筑结构的安全。</w:t>
      </w:r>
    </w:p>
    <w:p>
      <w:pPr>
        <w:pStyle w:val="4"/>
        <w:keepNext w:val="0"/>
        <w:keepLines w:val="0"/>
        <w:ind w:left="0"/>
        <w:rPr>
          <w:rFonts w:hAnsi="Calibri" w:cs="Calibri" w:asciiTheme="minorHAnsi"/>
        </w:rPr>
      </w:pPr>
      <w:r>
        <w:rPr>
          <w:rFonts w:hAnsi="Calibri" w:cs="Calibri" w:asciiTheme="minorHAnsi"/>
        </w:rPr>
        <w:t>建设单位将装配式开孔钢板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住宅工程移交物业时，应按国家有关规定的要求提供《住宅质量保证书》，保证书除应按现行有关规定执行外，尚应注明相关部品部件的保修期限和保修承诺。</w:t>
      </w:r>
    </w:p>
    <w:p>
      <w:pPr>
        <w:pStyle w:val="4"/>
        <w:keepNext w:val="0"/>
        <w:keepLines w:val="0"/>
        <w:ind w:left="0"/>
        <w:rPr>
          <w:rFonts w:hAnsi="Calibri" w:cs="Calibri" w:asciiTheme="minorHAnsi"/>
        </w:rPr>
      </w:pPr>
      <w:r>
        <w:rPr>
          <w:rFonts w:hAnsi="Calibri" w:cs="Calibri" w:asciiTheme="minorHAnsi"/>
        </w:rPr>
        <w:t>建设单位将装配式开孔钢板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住宅工程移交物业时，应按国家有关规定的要求提供《建筑使用说明书》，说明书应包含下述内容：</w:t>
      </w:r>
    </w:p>
    <w:p>
      <w:pPr>
        <w:ind w:firstLine="422"/>
      </w:pPr>
      <w:r>
        <w:rPr>
          <w:b/>
          <w:bCs/>
        </w:rPr>
        <w:t>1</w:t>
      </w:r>
      <w:r>
        <w:t xml:space="preserve"> 设计单位、施工单位、构件生产单位。</w:t>
      </w:r>
    </w:p>
    <w:p>
      <w:pPr>
        <w:ind w:firstLine="422"/>
      </w:pPr>
      <w:r>
        <w:rPr>
          <w:b/>
          <w:bCs/>
        </w:rPr>
        <w:t>2</w:t>
      </w:r>
      <w:r>
        <w:t xml:space="preserve"> 主体结构使用年限、结构体系、承重结构位置、使用荷载、装修荷载、使用要求、检查和维护要求。</w:t>
      </w:r>
    </w:p>
    <w:p>
      <w:pPr>
        <w:ind w:firstLine="422"/>
      </w:pPr>
      <w:r>
        <w:rPr>
          <w:b/>
          <w:bCs/>
        </w:rPr>
        <w:t>3</w:t>
      </w:r>
      <w:r>
        <w:t xml:space="preserve"> 外围护系统的基层墙体、连接件、外墙饰面、防水层、保温及密封材料的使用年限及维护周期等相关注意事项。</w:t>
      </w:r>
    </w:p>
    <w:p>
      <w:pPr>
        <w:ind w:firstLine="422"/>
      </w:pPr>
      <w:r>
        <w:rPr>
          <w:b/>
          <w:bCs/>
        </w:rPr>
        <w:t>4</w:t>
      </w:r>
      <w:r>
        <w:t xml:space="preserve"> 设备与管线的系统组成、特性规格、部品寿命、维护要求、使用说明等。</w:t>
      </w:r>
    </w:p>
    <w:p>
      <w:pPr>
        <w:ind w:firstLine="422"/>
      </w:pPr>
      <w:r>
        <w:rPr>
          <w:b/>
          <w:bCs/>
        </w:rPr>
        <w:t>5</w:t>
      </w:r>
      <w:r>
        <w:t xml:space="preserve"> 建筑部品部件生产厂、供应商提供的产品使用维护说明书，主要部品部件宜注明合理的检查和使用维护年限。</w:t>
      </w:r>
    </w:p>
    <w:p>
      <w:pPr>
        <w:ind w:firstLine="422"/>
      </w:pPr>
      <w:r>
        <w:rPr>
          <w:b/>
          <w:bCs/>
        </w:rPr>
        <w:t>6</w:t>
      </w:r>
      <w:r>
        <w:t xml:space="preserve"> 内装系统做法、部品寿命、维护要求、使用说明等。</w:t>
      </w:r>
    </w:p>
    <w:p>
      <w:pPr>
        <w:ind w:firstLine="422"/>
      </w:pPr>
      <w:r>
        <w:rPr>
          <w:b/>
          <w:bCs/>
        </w:rPr>
        <w:t>7</w:t>
      </w:r>
      <w:r>
        <w:t xml:space="preserve"> 二次装修、改造的注意事项。</w:t>
      </w:r>
    </w:p>
    <w:p>
      <w:pPr>
        <w:ind w:firstLine="422"/>
      </w:pPr>
      <w:r>
        <w:rPr>
          <w:b/>
          <w:bCs/>
        </w:rPr>
        <w:t>8</w:t>
      </w:r>
      <w:r>
        <w:t xml:space="preserve"> 其它需要说明的问题。</w:t>
      </w:r>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住宅遇地震、火灾等灾害后应对建筑进行全面检查，视破损程度进行维修。</w:t>
      </w:r>
    </w:p>
    <w:p>
      <w:pPr>
        <w:pStyle w:val="74"/>
        <w:widowControl w:val="0"/>
        <w:ind w:firstLine="400"/>
      </w:pPr>
      <w:r>
        <w:t>【条文说明】沿用现行国家标准</w:t>
      </w:r>
      <w:r>
        <w:rPr>
          <w:rFonts w:hint="eastAsia"/>
        </w:rPr>
        <w:t>《装配式钢结构建筑技术标准》</w:t>
      </w:r>
      <w:r>
        <w:t>GB/T 51232。地震或火灾后，物业服务企业应对建筑进行全面检查，必要时应提交房屋质量检测机构进行评估，并采取相应的维修措施。</w:t>
      </w:r>
    </w:p>
    <w:p>
      <w:pPr>
        <w:pStyle w:val="3"/>
        <w:keepNext w:val="0"/>
        <w:keepLines w:val="0"/>
        <w:ind w:firstLine="482"/>
        <w:rPr>
          <w:rFonts w:hAnsi="Calibri" w:cs="Calibri" w:asciiTheme="minorHAnsi"/>
        </w:rPr>
      </w:pPr>
      <w:bookmarkStart w:id="109" w:name="_Toc488133970"/>
      <w:bookmarkStart w:id="110" w:name="_Toc36207192"/>
      <w:bookmarkStart w:id="111" w:name="_Toc487902679"/>
      <w:bookmarkStart w:id="112" w:name="_Toc487894234"/>
      <w:bookmarkStart w:id="113" w:name="_Toc488998148"/>
      <w:bookmarkStart w:id="114" w:name="_Toc14135"/>
      <w:r>
        <w:rPr>
          <w:rFonts w:hAnsi="Calibri" w:cs="Calibri" w:asciiTheme="minorHAnsi"/>
        </w:rPr>
        <w:t>使用</w:t>
      </w:r>
      <w:bookmarkEnd w:id="109"/>
      <w:bookmarkEnd w:id="110"/>
      <w:bookmarkEnd w:id="111"/>
      <w:bookmarkEnd w:id="112"/>
      <w:bookmarkEnd w:id="113"/>
      <w:r>
        <w:rPr>
          <w:rFonts w:hAnsi="Calibri" w:cs="Calibri" w:asciiTheme="minorHAnsi"/>
        </w:rPr>
        <w:t>要求</w:t>
      </w:r>
      <w:bookmarkEnd w:id="114"/>
    </w:p>
    <w:p>
      <w:pPr>
        <w:pStyle w:val="4"/>
        <w:keepNext w:val="0"/>
        <w:keepLines w:val="0"/>
        <w:ind w:left="0"/>
        <w:rPr>
          <w:rFonts w:hAnsi="Calibri" w:cs="Calibri" w:asciiTheme="minorHAnsi"/>
        </w:rPr>
      </w:pPr>
      <w:r>
        <w:rPr>
          <w:rFonts w:hAnsi="Calibri" w:cs="Calibri" w:asciiTheme="minorHAnsi"/>
        </w:rPr>
        <w:t>业主或使用者不应改变原设计文件中规定的使用条件、使用性质及使用环境。</w:t>
      </w:r>
    </w:p>
    <w:p>
      <w:pPr>
        <w:pStyle w:val="74"/>
        <w:widowControl w:val="0"/>
        <w:ind w:firstLine="400"/>
      </w:pPr>
      <w:r>
        <w:t>【条文说明】沿用国家标准GB/T 51232。建筑使用条件、使用性质及使用环境与建筑设计使用年限内的安全性、适用性和耐久性密切相关，不得擅自改变。</w:t>
      </w:r>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剪力墙结构住宅的室内二次装修、改造和使用过程中，不应损伤主体钢结构及需保留的墙体与主体钢结构的连接件。</w:t>
      </w:r>
    </w:p>
    <w:p>
      <w:pPr>
        <w:pStyle w:val="74"/>
        <w:widowControl w:val="0"/>
        <w:ind w:firstLine="400"/>
      </w:pPr>
      <w:r>
        <w:t>【条文说明】在现行国家标准GB/T 51232的基础上作局部补充。为确保主体钢结构的可靠性，在建筑的室内二次装修、改造和使用过程中，不应对主体钢结构进行切割、开孔等损伤主体钢结构的行为。</w:t>
      </w:r>
    </w:p>
    <w:p>
      <w:pPr>
        <w:pStyle w:val="4"/>
        <w:keepNext w:val="0"/>
        <w:keepLines w:val="0"/>
        <w:ind w:left="0"/>
      </w:pPr>
      <w:r>
        <w:t>装修和使用中发生下述行为之一者，应当委托原设计单位或者具有相应资质的设计单位提出处理技术方案，并按相关规定进行施工及验收：</w:t>
      </w:r>
    </w:p>
    <w:p>
      <w:pPr>
        <w:ind w:firstLine="422"/>
      </w:pPr>
      <w:r>
        <w:rPr>
          <w:b/>
          <w:bCs/>
        </w:rPr>
        <w:t>1</w:t>
      </w:r>
      <w:r>
        <w:t>超过原设计文件规定的楼地面装修或使用荷载。</w:t>
      </w:r>
    </w:p>
    <w:p>
      <w:pPr>
        <w:ind w:firstLine="422"/>
        <w:rPr>
          <w:b/>
          <w:bCs/>
        </w:rPr>
      </w:pPr>
      <w:r>
        <w:rPr>
          <w:b/>
          <w:bCs/>
        </w:rPr>
        <w:t>2</w:t>
      </w:r>
      <w:r>
        <w:t>变更结构布局、拆除受力构件。</w:t>
      </w:r>
    </w:p>
    <w:p>
      <w:pPr>
        <w:ind w:firstLine="422"/>
      </w:pPr>
      <w:r>
        <w:rPr>
          <w:b/>
          <w:bCs/>
        </w:rPr>
        <w:t>3</w:t>
      </w:r>
      <w:r>
        <w:t xml:space="preserve"> 改变或损坏主体钢结构防火、防腐的相关防护及构造措施。</w:t>
      </w:r>
    </w:p>
    <w:p>
      <w:pPr>
        <w:ind w:firstLine="422"/>
      </w:pPr>
      <w:r>
        <w:rPr>
          <w:b/>
          <w:bCs/>
        </w:rPr>
        <w:t>4</w:t>
      </w:r>
      <w:r>
        <w:t xml:space="preserve"> 改变或损坏建筑节能保温、外墙及楼屋面防水构造措施。</w:t>
      </w:r>
    </w:p>
    <w:p>
      <w:pPr>
        <w:pStyle w:val="74"/>
        <w:widowControl w:val="0"/>
        <w:ind w:firstLine="400"/>
      </w:pPr>
      <w:r>
        <w:t>【条文说明】在现行国家标准GB/T 51232的基础上作局部补充。国内外钢结构建筑的使用经验表明，在正常使用和维护条件下，主体结构在设计使用年限内一般不存在耐久性问题。但建筑保温、外墙防水等构造措施破坏会导致钢结构结露、渗水受潮，以及防腐措施的破坏会加剧钢结构的腐蚀。防火保护措施的破坏则会影响钢结构建筑在火灾工况下的安全性。</w:t>
      </w:r>
    </w:p>
    <w:p>
      <w:pPr>
        <w:pStyle w:val="4"/>
        <w:keepNext w:val="0"/>
        <w:keepLines w:val="0"/>
        <w:ind w:left="0"/>
        <w:rPr>
          <w:rFonts w:hAnsi="Calibri" w:cs="Calibri" w:asciiTheme="minorHAnsi"/>
        </w:rPr>
      </w:pPr>
      <w:r>
        <w:rPr>
          <w:rFonts w:hAnsi="Calibri" w:cs="Calibri" w:asciiTheme="minorHAnsi"/>
        </w:rPr>
        <w:t>建筑二次装修、改造中改动卫生间、厨房、阳台防水层的，应按现行相关防水标准制定设计、施工技术方案，并进行闭水试验。</w:t>
      </w:r>
    </w:p>
    <w:p>
      <w:pPr>
        <w:pStyle w:val="74"/>
        <w:widowControl w:val="0"/>
        <w:ind w:firstLine="400"/>
      </w:pPr>
      <w:r>
        <w:t>【条文说明】沿用现行国家标准GB/T 51232。</w:t>
      </w:r>
    </w:p>
    <w:p>
      <w:pPr>
        <w:pStyle w:val="3"/>
        <w:keepNext w:val="0"/>
        <w:keepLines w:val="0"/>
        <w:ind w:firstLine="482"/>
        <w:rPr>
          <w:rFonts w:hAnsi="Calibri" w:cs="Calibri" w:asciiTheme="minorHAnsi"/>
        </w:rPr>
      </w:pPr>
      <w:bookmarkStart w:id="115" w:name="_Toc15123"/>
      <w:r>
        <w:rPr>
          <w:rFonts w:hAnsi="Calibri" w:cs="Calibri" w:asciiTheme="minorHAnsi"/>
        </w:rPr>
        <w:t>维护要求</w:t>
      </w:r>
      <w:bookmarkEnd w:id="115"/>
    </w:p>
    <w:p>
      <w:pPr>
        <w:pStyle w:val="4"/>
        <w:keepNext w:val="0"/>
        <w:keepLines w:val="0"/>
        <w:ind w:left="0"/>
        <w:rPr>
          <w:rFonts w:hAnsi="Calibri" w:cs="Calibri" w:asciiTheme="minorHAnsi"/>
        </w:rPr>
      </w:pPr>
      <w:r>
        <w:rPr>
          <w:rFonts w:hAnsi="Calibri" w:cs="Calibri" w:asciiTheme="minorHAnsi"/>
        </w:rPr>
        <w:t>装配式开孔钢板</w:t>
      </w:r>
      <w:r>
        <w:rPr>
          <w:rFonts w:hint="eastAsia" w:hAnsi="Calibri" w:cs="Calibri" w:asciiTheme="minorHAnsi"/>
        </w:rPr>
        <w:t>组合</w:t>
      </w:r>
      <w:r>
        <w:rPr>
          <w:rFonts w:hAnsi="Calibri" w:cs="Calibri" w:asciiTheme="minorHAnsi"/>
        </w:rPr>
        <w:t>剪力墙</w:t>
      </w:r>
      <w:r>
        <w:rPr>
          <w:rFonts w:hint="eastAsia" w:hAnsi="Calibri" w:cs="Calibri" w:asciiTheme="minorHAnsi"/>
        </w:rPr>
        <w:t>结构</w:t>
      </w:r>
      <w:r>
        <w:rPr>
          <w:rFonts w:hAnsi="Calibri" w:cs="Calibri" w:asciiTheme="minorHAnsi"/>
        </w:rPr>
        <w:t>住宅宜建立易损部品部件备用库，保证维护的有效性和实效性。</w:t>
      </w:r>
    </w:p>
    <w:p>
      <w:pPr>
        <w:pStyle w:val="4"/>
        <w:keepNext w:val="0"/>
        <w:keepLines w:val="0"/>
        <w:ind w:left="0"/>
        <w:rPr>
          <w:rFonts w:hAnsi="Calibri" w:cs="Calibri" w:asciiTheme="minorHAnsi"/>
        </w:rPr>
      </w:pPr>
      <w:r>
        <w:rPr>
          <w:rFonts w:hAnsi="Calibri" w:cs="Calibri" w:asciiTheme="minorHAnsi"/>
        </w:rPr>
        <w:t>对于检查项目中不符合要求的内容，应先组织实施一般维修。一般维修包括：</w:t>
      </w:r>
    </w:p>
    <w:p>
      <w:pPr>
        <w:ind w:firstLine="422"/>
      </w:pPr>
      <w:r>
        <w:rPr>
          <w:b/>
          <w:bCs/>
        </w:rPr>
        <w:t xml:space="preserve">1 </w:t>
      </w:r>
      <w:r>
        <w:t>修复异常的主体钢构件及连接。</w:t>
      </w:r>
    </w:p>
    <w:p>
      <w:pPr>
        <w:ind w:firstLine="422"/>
      </w:pPr>
      <w:r>
        <w:rPr>
          <w:b/>
          <w:bCs/>
        </w:rPr>
        <w:t>2</w:t>
      </w:r>
      <w:r>
        <w:t>修复受损外墙及屋面结构、防水及保温系统。</w:t>
      </w:r>
    </w:p>
    <w:p>
      <w:pPr>
        <w:ind w:firstLine="422"/>
      </w:pPr>
      <w:r>
        <w:rPr>
          <w:b/>
          <w:bCs/>
        </w:rPr>
        <w:t>3</w:t>
      </w:r>
      <w:r>
        <w:t>对各种已损和已老化的设备管线系统零部件进行更换或修复。</w:t>
      </w:r>
    </w:p>
    <w:p>
      <w:pPr>
        <w:ind w:firstLine="422"/>
      </w:pPr>
      <w:r>
        <w:rPr>
          <w:b/>
          <w:bCs/>
        </w:rPr>
        <w:t>4</w:t>
      </w:r>
      <w:r>
        <w:t>更换异常消防设备。</w:t>
      </w:r>
    </w:p>
    <w:p>
      <w:pPr>
        <w:pStyle w:val="4"/>
        <w:keepNext w:val="0"/>
        <w:keepLines w:val="0"/>
        <w:ind w:left="0"/>
      </w:pPr>
      <w:r>
        <w:t>对于一般维修无法修复的，应组织具有相应资质的单位进行维修、加固和修复。</w:t>
      </w:r>
    </w:p>
    <w:p>
      <w:pPr>
        <w:pStyle w:val="4"/>
        <w:keepNext w:val="0"/>
        <w:keepLines w:val="0"/>
        <w:ind w:left="0"/>
      </w:pPr>
      <w:r>
        <w:t>对智能化系统的维护应符合现行国家标准的规定，涉及专业维护时应由物业服务企业委托专业单位进行日常维护和管理，并提供专业的设备管理与维护方案。</w:t>
      </w:r>
    </w:p>
    <w:p>
      <w:pPr>
        <w:pStyle w:val="74"/>
        <w:widowControl w:val="0"/>
        <w:ind w:firstLine="400"/>
      </w:pPr>
      <w:r>
        <w:t>【条文说明】在现行国家标准GB/T 51232的基础上作局部补充。</w:t>
      </w:r>
    </w:p>
    <w:p>
      <w:pPr>
        <w:pStyle w:val="3"/>
        <w:keepNext w:val="0"/>
        <w:keepLines w:val="0"/>
        <w:ind w:firstLine="482"/>
        <w:rPr>
          <w:rFonts w:hAnsi="Calibri" w:cs="Calibri" w:asciiTheme="minorHAnsi"/>
        </w:rPr>
      </w:pPr>
      <w:bookmarkStart w:id="116" w:name="_Toc488133971"/>
      <w:bookmarkStart w:id="117" w:name="_Toc487894235"/>
      <w:bookmarkStart w:id="118" w:name="_Toc488998149"/>
      <w:bookmarkStart w:id="119" w:name="_Toc487902680"/>
      <w:bookmarkStart w:id="120" w:name="_Toc36207193"/>
      <w:bookmarkStart w:id="121" w:name="_Toc27114"/>
      <w:r>
        <w:rPr>
          <w:rFonts w:hAnsi="Calibri" w:cs="Calibri" w:asciiTheme="minorHAnsi"/>
        </w:rPr>
        <w:t>物业服务</w:t>
      </w:r>
      <w:bookmarkEnd w:id="116"/>
      <w:bookmarkEnd w:id="117"/>
      <w:bookmarkEnd w:id="118"/>
      <w:bookmarkEnd w:id="119"/>
      <w:bookmarkEnd w:id="120"/>
      <w:bookmarkEnd w:id="121"/>
    </w:p>
    <w:p>
      <w:pPr>
        <w:pStyle w:val="4"/>
        <w:keepNext w:val="0"/>
        <w:keepLines w:val="0"/>
        <w:ind w:left="0"/>
      </w:pPr>
      <w:r>
        <w:t>物业服务企业宜做到下列服务：</w:t>
      </w:r>
    </w:p>
    <w:p>
      <w:pPr>
        <w:ind w:firstLine="422"/>
      </w:pPr>
      <w:r>
        <w:rPr>
          <w:b/>
          <w:bCs/>
        </w:rPr>
        <w:t xml:space="preserve">1 </w:t>
      </w:r>
      <w:r>
        <w:t>按法律法规要求建设单位移交相关资料。</w:t>
      </w:r>
    </w:p>
    <w:p>
      <w:pPr>
        <w:ind w:firstLine="422"/>
      </w:pPr>
      <w:r>
        <w:rPr>
          <w:b/>
          <w:bCs/>
        </w:rPr>
        <w:t xml:space="preserve">2 </w:t>
      </w:r>
      <w:r>
        <w:t>与业主共同制定物业《检查与维护更新计划》。</w:t>
      </w:r>
    </w:p>
    <w:p>
      <w:pPr>
        <w:ind w:firstLine="422"/>
      </w:pPr>
      <w:r>
        <w:rPr>
          <w:b/>
          <w:bCs/>
        </w:rPr>
        <w:t xml:space="preserve">3 </w:t>
      </w:r>
      <w:r>
        <w:t>建立对主体结构、外围护、内装修、设备管线系统的检查与维护制度。</w:t>
      </w:r>
    </w:p>
    <w:p>
      <w:pPr>
        <w:ind w:firstLine="422"/>
      </w:pPr>
      <w:r>
        <w:rPr>
          <w:b/>
          <w:bCs/>
        </w:rPr>
        <w:t xml:space="preserve">4 </w:t>
      </w:r>
      <w:r>
        <w:t>明确检查时间与部位，遵照执行，并形成检查与维护纪录。</w:t>
      </w:r>
    </w:p>
    <w:p>
      <w:pPr>
        <w:pStyle w:val="4"/>
        <w:keepNext w:val="0"/>
        <w:keepLines w:val="0"/>
        <w:ind w:left="0"/>
        <w:rPr>
          <w:rFonts w:hAnsi="Calibri" w:cs="Calibri" w:asciiTheme="minorHAnsi"/>
        </w:rPr>
      </w:pPr>
      <w:r>
        <w:rPr>
          <w:rFonts w:hAnsi="Calibri" w:cs="Calibri" w:asciiTheme="minorHAnsi"/>
        </w:rPr>
        <w:t>物业服务企业应将钢结构住宅装饰装修和使用中的禁止行为和注意事项告知业主或使用者，并在室内装饰装修过程中进行检查督促。</w:t>
      </w:r>
    </w:p>
    <w:p>
      <w:pPr>
        <w:pStyle w:val="4"/>
        <w:keepNext w:val="0"/>
        <w:keepLines w:val="0"/>
        <w:ind w:left="0"/>
      </w:pPr>
      <w:r>
        <w:t>物业服务宜采用BIM信息化手段，建立建筑、设备与管线等的管理档案。</w:t>
      </w:r>
    </w:p>
    <w:p>
      <w:pPr>
        <w:widowControl/>
        <w:spacing w:line="240" w:lineRule="auto"/>
        <w:rPr>
          <w:rFonts w:hAnsi="Calibri" w:cs="Calibri" w:asciiTheme="minorHAnsi"/>
        </w:rPr>
      </w:pPr>
      <w:r>
        <w:rPr>
          <w:rFonts w:hAnsi="Calibri" w:cs="Calibri" w:asciiTheme="minorHAnsi"/>
        </w:rPr>
        <w:br w:type="page"/>
      </w:r>
    </w:p>
    <w:p>
      <w:pPr>
        <w:pStyle w:val="2"/>
        <w:numPr>
          <w:ilvl w:val="0"/>
          <w:numId w:val="0"/>
        </w:numPr>
        <w:spacing w:before="156" w:after="156"/>
        <w:rPr>
          <w:rFonts w:hAnsi="Calibri" w:cs="Calibri" w:asciiTheme="minorHAnsi"/>
        </w:rPr>
      </w:pPr>
      <w:bookmarkStart w:id="122" w:name="_Toc8020"/>
      <w:bookmarkStart w:id="123" w:name="_Toc29313422"/>
      <w:bookmarkStart w:id="124" w:name="_Toc36207194"/>
      <w:r>
        <w:rPr>
          <w:rFonts w:hAnsi="Calibri" w:cs="Calibri" w:asciiTheme="minorHAnsi"/>
        </w:rPr>
        <w:t>本标准用词说明</w:t>
      </w:r>
      <w:bookmarkEnd w:id="122"/>
      <w:bookmarkEnd w:id="123"/>
      <w:bookmarkEnd w:id="124"/>
    </w:p>
    <w:p>
      <w:pPr>
        <w:ind w:firstLine="422"/>
      </w:pPr>
      <w:r>
        <w:rPr>
          <w:b/>
        </w:rPr>
        <w:t xml:space="preserve">1 </w:t>
      </w:r>
      <w:r>
        <w:t>为了便于在执行本标准条文时区别对待，对要求严格程度不同的用词说明如下：</w:t>
      </w:r>
    </w:p>
    <w:p>
      <w:r>
        <w:t>1）表示很严格，非这样做不可的：</w:t>
      </w:r>
    </w:p>
    <w:p>
      <w:r>
        <w:t>正面词采用“必须”；反面词采用“严禁”；</w:t>
      </w:r>
    </w:p>
    <w:p>
      <w:r>
        <w:t>2）表示严格，在正常情况下均应这样做的：</w:t>
      </w:r>
    </w:p>
    <w:p>
      <w:r>
        <w:t>正面词采用“应”；反面词采用“不应”或“不得”；</w:t>
      </w:r>
    </w:p>
    <w:p>
      <w:r>
        <w:t>3）表示稍有选择，在条件许可时首先应这样做的：</w:t>
      </w:r>
    </w:p>
    <w:p>
      <w:r>
        <w:t>正面词采用“宜”或“可”；反面词采用“不宜”；</w:t>
      </w:r>
    </w:p>
    <w:p>
      <w:r>
        <w:t>4）表示有选择，在一定条件可以这样做的，采用“可”。</w:t>
      </w:r>
    </w:p>
    <w:p>
      <w:pPr>
        <w:ind w:left="420" w:leftChars="200" w:firstLine="0" w:firstLineChars="0"/>
      </w:pPr>
      <w:r>
        <w:rPr>
          <w:b/>
          <w:bCs/>
        </w:rPr>
        <w:t>2</w:t>
      </w:r>
      <w:r>
        <w:t xml:space="preserve"> 条文中指定应按其他有关标准、规范执行时，写法为“应符合……规定”或“应按……执行”。</w:t>
      </w:r>
    </w:p>
    <w:p>
      <w:pPr>
        <w:widowControl/>
        <w:spacing w:line="240" w:lineRule="auto"/>
        <w:rPr>
          <w:rFonts w:hAnsi="Calibri" w:cs="Calibri" w:asciiTheme="minorHAnsi"/>
        </w:rPr>
      </w:pPr>
      <w:r>
        <w:rPr>
          <w:rFonts w:hAnsi="Calibri" w:cs="Calibri" w:asciiTheme="minorHAnsi"/>
        </w:rPr>
        <w:br w:type="page"/>
      </w:r>
    </w:p>
    <w:p>
      <w:pPr>
        <w:pStyle w:val="2"/>
        <w:numPr>
          <w:ilvl w:val="0"/>
          <w:numId w:val="0"/>
        </w:numPr>
        <w:spacing w:before="156" w:after="156"/>
        <w:rPr>
          <w:rFonts w:hAnsi="Calibri" w:cs="Calibri" w:asciiTheme="minorHAnsi"/>
        </w:rPr>
      </w:pPr>
      <w:bookmarkStart w:id="125" w:name="_Toc36207195"/>
      <w:bookmarkStart w:id="126" w:name="_Toc9654"/>
      <w:bookmarkStart w:id="127" w:name="_Toc29313423"/>
      <w:r>
        <w:rPr>
          <w:rFonts w:hAnsi="Calibri" w:cs="Calibri" w:asciiTheme="minorHAnsi"/>
        </w:rPr>
        <w:t>引用标准目录</w:t>
      </w:r>
      <w:bookmarkEnd w:id="125"/>
      <w:bookmarkEnd w:id="126"/>
      <w:bookmarkEnd w:id="127"/>
    </w:p>
    <w:p>
      <w:pPr>
        <w:ind w:left="420" w:hanging="420" w:hangingChars="200"/>
      </w:pPr>
      <w:r>
        <w:rPr>
          <w:rFonts w:hint="eastAsia"/>
        </w:rPr>
        <w:t>1《建筑结构荷载规范》GB 50009</w:t>
      </w:r>
    </w:p>
    <w:p>
      <w:pPr>
        <w:ind w:left="420" w:hanging="420" w:hangingChars="200"/>
      </w:pPr>
      <w:r>
        <w:rPr>
          <w:rFonts w:hint="eastAsia"/>
        </w:rPr>
        <w:t>2《混凝土结构设计规范》GB 50010</w:t>
      </w:r>
    </w:p>
    <w:p>
      <w:pPr>
        <w:ind w:left="420" w:hanging="420" w:hangingChars="200"/>
      </w:pPr>
      <w:r>
        <w:rPr>
          <w:rFonts w:hint="eastAsia"/>
        </w:rPr>
        <w:t>3《建筑抗震设计规范》GB 50011</w:t>
      </w:r>
    </w:p>
    <w:p>
      <w:pPr>
        <w:ind w:left="420" w:hanging="420" w:hangingChars="200"/>
      </w:pPr>
      <w:r>
        <w:rPr>
          <w:rFonts w:hint="eastAsia"/>
        </w:rPr>
        <w:t>4《建筑给水排水设计标准》GB 50015</w:t>
      </w:r>
    </w:p>
    <w:p>
      <w:pPr>
        <w:ind w:left="420" w:hanging="420" w:hangingChars="200"/>
      </w:pPr>
      <w:r>
        <w:rPr>
          <w:rFonts w:hint="eastAsia"/>
        </w:rPr>
        <w:t>5《建筑设计防火规范》GB 50016</w:t>
      </w:r>
    </w:p>
    <w:p>
      <w:pPr>
        <w:ind w:left="420" w:hanging="420" w:hangingChars="200"/>
      </w:pPr>
      <w:r>
        <w:rPr>
          <w:rFonts w:hint="eastAsia"/>
        </w:rPr>
        <w:t>6《钢结构设计标准》GB 50017</w:t>
      </w:r>
    </w:p>
    <w:p>
      <w:pPr>
        <w:ind w:left="420" w:hanging="420" w:hangingChars="200"/>
      </w:pPr>
      <w:r>
        <w:rPr>
          <w:rFonts w:hint="eastAsia"/>
        </w:rPr>
        <w:t>7《冷弯薄壁型钢结构技术规范》GB 50018</w:t>
      </w:r>
    </w:p>
    <w:p>
      <w:pPr>
        <w:ind w:left="420" w:hanging="420" w:hangingChars="200"/>
      </w:pPr>
      <w:r>
        <w:rPr>
          <w:rFonts w:hint="eastAsia"/>
        </w:rPr>
        <w:t>8《城镇燃气设计规范》GB 50028</w:t>
      </w:r>
    </w:p>
    <w:p>
      <w:pPr>
        <w:ind w:left="420" w:hanging="420" w:hangingChars="200"/>
      </w:pPr>
      <w:r>
        <w:rPr>
          <w:rFonts w:hint="eastAsia"/>
        </w:rPr>
        <w:t>9《建筑照明设计标准》GB 50034</w:t>
      </w:r>
    </w:p>
    <w:p>
      <w:pPr>
        <w:ind w:left="420" w:hanging="420" w:hangingChars="200"/>
      </w:pPr>
      <w:r>
        <w:rPr>
          <w:rFonts w:hint="eastAsia"/>
        </w:rPr>
        <w:t>10《供配电系统设计规范》GB 50052</w:t>
      </w:r>
    </w:p>
    <w:p>
      <w:pPr>
        <w:ind w:left="420" w:hanging="420" w:hangingChars="200"/>
      </w:pPr>
      <w:r>
        <w:rPr>
          <w:rFonts w:hint="eastAsia"/>
        </w:rPr>
        <w:t>11《20KV及以下变电所世界规范》GB 50053</w:t>
      </w:r>
    </w:p>
    <w:p>
      <w:pPr>
        <w:ind w:left="420" w:hanging="420" w:hangingChars="200"/>
      </w:pPr>
      <w:r>
        <w:rPr>
          <w:rFonts w:hint="eastAsia"/>
        </w:rPr>
        <w:t>12《低压配电设计规范》GB 50054</w:t>
      </w:r>
    </w:p>
    <w:p>
      <w:pPr>
        <w:ind w:left="420" w:hanging="420" w:hangingChars="200"/>
      </w:pPr>
      <w:r>
        <w:rPr>
          <w:rFonts w:hint="eastAsia"/>
        </w:rPr>
        <w:t>13《建筑物防雷设计规范》GB 50057</w:t>
      </w:r>
    </w:p>
    <w:p>
      <w:pPr>
        <w:ind w:left="420" w:hanging="420" w:hangingChars="200"/>
      </w:pPr>
      <w:r>
        <w:rPr>
          <w:rFonts w:hint="eastAsia"/>
        </w:rPr>
        <w:t>14《建筑结构可靠性设计统一标准》GB 50068</w:t>
      </w:r>
    </w:p>
    <w:p>
      <w:pPr>
        <w:ind w:left="420" w:hanging="420" w:hangingChars="200"/>
      </w:pPr>
      <w:r>
        <w:rPr>
          <w:rFonts w:hint="eastAsia"/>
        </w:rPr>
        <w:t>15《住宅设计规范》GB 50096</w:t>
      </w:r>
    </w:p>
    <w:p>
      <w:pPr>
        <w:ind w:left="420" w:hanging="420" w:hangingChars="200"/>
      </w:pPr>
      <w:r>
        <w:rPr>
          <w:rFonts w:hint="eastAsia"/>
        </w:rPr>
        <w:t>16《火灾自动报警系统设计规范》GB 50116</w:t>
      </w:r>
    </w:p>
    <w:p>
      <w:pPr>
        <w:ind w:left="420" w:hanging="420" w:hangingChars="200"/>
      </w:pPr>
      <w:r>
        <w:rPr>
          <w:rFonts w:hint="eastAsia"/>
        </w:rPr>
        <w:t>17《民用建筑隔声设计规范》GB 50118</w:t>
      </w:r>
    </w:p>
    <w:p>
      <w:pPr>
        <w:ind w:left="420" w:hanging="420" w:hangingChars="200"/>
      </w:pPr>
      <w:r>
        <w:rPr>
          <w:rFonts w:hint="eastAsia"/>
        </w:rPr>
        <w:t>18《工程结构可靠性设计统一标准》GB 50153</w:t>
      </w:r>
    </w:p>
    <w:p>
      <w:pPr>
        <w:ind w:left="420" w:hanging="420" w:hangingChars="200"/>
      </w:pPr>
      <w:r>
        <w:rPr>
          <w:rFonts w:hint="eastAsia"/>
        </w:rPr>
        <w:t>19《火灾自动报警系统施工及验收标准》GB 50166</w:t>
      </w:r>
    </w:p>
    <w:p>
      <w:pPr>
        <w:ind w:left="420" w:hanging="420" w:hangingChars="200"/>
      </w:pPr>
      <w:r>
        <w:rPr>
          <w:rFonts w:hint="eastAsia"/>
        </w:rPr>
        <w:t>20《公共建筑节能设计标准》GB 50189</w:t>
      </w:r>
    </w:p>
    <w:p>
      <w:pPr>
        <w:ind w:left="420" w:hanging="420" w:hangingChars="200"/>
      </w:pPr>
      <w:r>
        <w:rPr>
          <w:rFonts w:hint="eastAsia"/>
        </w:rPr>
        <w:t>21《建筑地基基础工程施工质量验标准》GB 50202</w:t>
      </w:r>
    </w:p>
    <w:p>
      <w:pPr>
        <w:ind w:left="420" w:hanging="420" w:hangingChars="200"/>
      </w:pPr>
      <w:r>
        <w:rPr>
          <w:rFonts w:hint="eastAsia"/>
        </w:rPr>
        <w:t>22《混凝土结构工程施工质量验收规范》GB 50204</w:t>
      </w:r>
    </w:p>
    <w:p>
      <w:pPr>
        <w:ind w:left="420" w:hanging="420" w:hangingChars="200"/>
      </w:pPr>
      <w:r>
        <w:rPr>
          <w:rFonts w:hint="eastAsia"/>
        </w:rPr>
        <w:t>23《钢结构工程施工质量验收规范》GB 50205</w:t>
      </w:r>
    </w:p>
    <w:p>
      <w:pPr>
        <w:ind w:left="420" w:hanging="420" w:hangingChars="200"/>
      </w:pPr>
      <w:r>
        <w:rPr>
          <w:rFonts w:hint="eastAsia"/>
        </w:rPr>
        <w:t>24《屋面工程质量验收标准》GB 50207</w:t>
      </w:r>
    </w:p>
    <w:p>
      <w:pPr>
        <w:ind w:left="420" w:hanging="420" w:hangingChars="200"/>
      </w:pPr>
      <w:r>
        <w:rPr>
          <w:rFonts w:hint="eastAsia"/>
        </w:rPr>
        <w:t>25《建筑装饰装修工程质量验收规范》GB 50210</w:t>
      </w:r>
    </w:p>
    <w:p>
      <w:pPr>
        <w:ind w:left="420" w:hanging="420" w:hangingChars="200"/>
      </w:pPr>
      <w:r>
        <w:rPr>
          <w:rFonts w:hint="eastAsia"/>
        </w:rPr>
        <w:t>26《建筑防腐蚀工程施工规范》GB 50212</w:t>
      </w:r>
    </w:p>
    <w:p>
      <w:pPr>
        <w:ind w:left="420" w:hanging="420" w:hangingChars="200"/>
      </w:pPr>
      <w:r>
        <w:rPr>
          <w:rFonts w:hint="eastAsia"/>
        </w:rPr>
        <w:t>27《电力工程电缆设计标准》GB 50217</w:t>
      </w:r>
    </w:p>
    <w:p>
      <w:pPr>
        <w:ind w:left="420" w:hanging="420" w:hangingChars="200"/>
      </w:pPr>
      <w:r>
        <w:rPr>
          <w:rFonts w:hint="eastAsia"/>
        </w:rPr>
        <w:t>28《建筑内部装修设计防火规范》GB 50222</w:t>
      </w:r>
    </w:p>
    <w:p>
      <w:pPr>
        <w:ind w:left="420" w:hanging="420" w:hangingChars="200"/>
      </w:pPr>
      <w:r>
        <w:rPr>
          <w:rFonts w:hint="eastAsia"/>
        </w:rPr>
        <w:t>29《建筑防腐蚀工程质量验收标准》GB 50224</w:t>
      </w:r>
    </w:p>
    <w:p>
      <w:pPr>
        <w:ind w:left="420" w:hanging="420" w:hangingChars="200"/>
      </w:pPr>
      <w:r>
        <w:rPr>
          <w:rFonts w:hint="eastAsia"/>
        </w:rPr>
        <w:t>30《建筑给水排水及采暖施工质量验收规范》GB 50242</w:t>
      </w:r>
    </w:p>
    <w:p>
      <w:pPr>
        <w:ind w:left="420" w:hanging="420" w:hangingChars="200"/>
      </w:pPr>
      <w:r>
        <w:rPr>
          <w:rFonts w:hint="eastAsia"/>
        </w:rPr>
        <w:t>31《通风与空调工程施工质量验收规范》GB 50243</w:t>
      </w:r>
    </w:p>
    <w:p>
      <w:pPr>
        <w:ind w:left="420" w:hanging="420" w:hangingChars="200"/>
      </w:pPr>
      <w:r>
        <w:rPr>
          <w:rFonts w:hint="eastAsia"/>
        </w:rPr>
        <w:t>32《自动喷水灭火系统施工及验收规范》GB 50261</w:t>
      </w:r>
    </w:p>
    <w:p>
      <w:pPr>
        <w:ind w:left="420" w:hanging="420" w:hangingChars="200"/>
      </w:pPr>
      <w:r>
        <w:rPr>
          <w:rFonts w:hint="eastAsia"/>
        </w:rPr>
        <w:t>33《建筑工程施工质量验收统一标准》GB 50300</w:t>
      </w:r>
    </w:p>
    <w:p>
      <w:pPr>
        <w:ind w:left="420" w:hanging="420" w:hangingChars="200"/>
      </w:pPr>
      <w:r>
        <w:rPr>
          <w:rFonts w:hint="eastAsia"/>
        </w:rPr>
        <w:t>34《建筑电气工程施工质量验收规范》GB 50303</w:t>
      </w:r>
    </w:p>
    <w:p>
      <w:pPr>
        <w:ind w:left="420" w:hanging="420" w:hangingChars="200"/>
      </w:pPr>
      <w:r>
        <w:rPr>
          <w:rFonts w:hint="eastAsia"/>
        </w:rPr>
        <w:t>35《电梯工程施工质量验收规范》GB 50310</w:t>
      </w:r>
    </w:p>
    <w:p>
      <w:pPr>
        <w:ind w:left="420" w:hanging="420" w:hangingChars="200"/>
      </w:pPr>
      <w:r>
        <w:rPr>
          <w:rFonts w:hint="eastAsia"/>
        </w:rPr>
        <w:t>36《综合布线系统工程设计规范》GB 50311</w:t>
      </w:r>
    </w:p>
    <w:p>
      <w:pPr>
        <w:ind w:left="420" w:hanging="420" w:hangingChars="200"/>
      </w:pPr>
      <w:r>
        <w:rPr>
          <w:rFonts w:hint="eastAsia"/>
        </w:rPr>
        <w:t>37《智能建筑设计标准》GB 50314</w:t>
      </w:r>
    </w:p>
    <w:p>
      <w:pPr>
        <w:ind w:left="420" w:hanging="420" w:hangingChars="200"/>
      </w:pPr>
      <w:r>
        <w:rPr>
          <w:rFonts w:hint="eastAsia"/>
        </w:rPr>
        <w:t>38《民用建筑工程室内环境污染控制标准》GB 50325</w:t>
      </w:r>
    </w:p>
    <w:p>
      <w:pPr>
        <w:ind w:left="420" w:hanging="420" w:hangingChars="200"/>
      </w:pPr>
      <w:r>
        <w:rPr>
          <w:rFonts w:hint="eastAsia"/>
        </w:rPr>
        <w:t>39《住宅装饰装修工程施工规范》GB 50327</w:t>
      </w:r>
    </w:p>
    <w:p>
      <w:pPr>
        <w:ind w:left="420" w:hanging="420" w:hangingChars="200"/>
      </w:pPr>
      <w:r>
        <w:rPr>
          <w:rFonts w:hint="eastAsia"/>
        </w:rPr>
        <w:t>40《智能建筑工程质量验收规范》GB 50339</w:t>
      </w:r>
    </w:p>
    <w:p>
      <w:pPr>
        <w:ind w:left="420" w:hanging="420" w:hangingChars="200"/>
      </w:pPr>
      <w:r>
        <w:rPr>
          <w:rFonts w:hint="eastAsia"/>
        </w:rPr>
        <w:t>41《建筑物电子信息系统防雷技术规范》GB 50343</w:t>
      </w:r>
    </w:p>
    <w:p>
      <w:pPr>
        <w:ind w:left="420" w:hanging="420" w:hangingChars="200"/>
      </w:pPr>
      <w:r>
        <w:rPr>
          <w:rFonts w:hint="eastAsia"/>
        </w:rPr>
        <w:t>42《住宅建筑规范》GB 50368</w:t>
      </w:r>
    </w:p>
    <w:p>
      <w:pPr>
        <w:ind w:left="420" w:hanging="420" w:hangingChars="200"/>
      </w:pPr>
      <w:r>
        <w:rPr>
          <w:rFonts w:hint="eastAsia"/>
        </w:rPr>
        <w:t>43《视频安防监控系统工程设计规范》GB 50395</w:t>
      </w:r>
    </w:p>
    <w:p>
      <w:pPr>
        <w:ind w:left="420" w:hanging="420" w:hangingChars="200"/>
      </w:pPr>
      <w:r>
        <w:rPr>
          <w:rFonts w:hint="eastAsia"/>
        </w:rPr>
        <w:t>44《建筑节能工程施工质量验收标准》GB 50411</w:t>
      </w:r>
    </w:p>
    <w:p>
      <w:pPr>
        <w:ind w:left="420" w:hanging="420" w:hangingChars="200"/>
      </w:pPr>
      <w:r>
        <w:rPr>
          <w:rFonts w:hint="eastAsia"/>
        </w:rPr>
        <w:t>45《墙体材料应用统一技术规范》GB 50574</w:t>
      </w:r>
    </w:p>
    <w:p>
      <w:pPr>
        <w:ind w:left="420" w:hanging="420" w:hangingChars="200"/>
      </w:pPr>
      <w:r>
        <w:rPr>
          <w:rFonts w:hint="eastAsia"/>
        </w:rPr>
        <w:t>46《智能建筑工程施工规范》GB 50606</w:t>
      </w:r>
    </w:p>
    <w:p>
      <w:pPr>
        <w:ind w:left="420" w:hanging="420" w:hangingChars="200"/>
      </w:pPr>
      <w:r>
        <w:rPr>
          <w:rFonts w:hint="eastAsia"/>
        </w:rPr>
        <w:t>47《钢管混凝土工程施工质量验收规范》GB 50628</w:t>
      </w:r>
    </w:p>
    <w:p>
      <w:pPr>
        <w:ind w:left="420" w:hanging="420" w:hangingChars="200"/>
      </w:pPr>
      <w:r>
        <w:rPr>
          <w:rFonts w:hint="eastAsia"/>
        </w:rPr>
        <w:t>48《钢结构焊接规范》GB 50661</w:t>
      </w:r>
    </w:p>
    <w:p>
      <w:pPr>
        <w:ind w:left="420" w:hanging="420" w:hangingChars="200"/>
      </w:pPr>
      <w:r>
        <w:rPr>
          <w:rFonts w:hint="eastAsia"/>
        </w:rPr>
        <w:t>49《民用建筑供暖通风与空气调节设计规范》GB 50736</w:t>
      </w:r>
    </w:p>
    <w:p>
      <w:pPr>
        <w:ind w:left="420" w:hanging="420" w:hangingChars="200"/>
      </w:pPr>
      <w:r>
        <w:rPr>
          <w:rFonts w:hint="eastAsia"/>
        </w:rPr>
        <w:t>50《钢结构工程施工规范》GB 50755</w:t>
      </w:r>
    </w:p>
    <w:p>
      <w:pPr>
        <w:ind w:left="420" w:hanging="420" w:hangingChars="200"/>
      </w:pPr>
      <w:r>
        <w:rPr>
          <w:rFonts w:hint="eastAsia"/>
        </w:rPr>
        <w:t>51《钢-混凝土组合结构施工规范》GB 50901</w:t>
      </w:r>
    </w:p>
    <w:p>
      <w:pPr>
        <w:ind w:left="420" w:hanging="420" w:hangingChars="200"/>
      </w:pPr>
      <w:r>
        <w:rPr>
          <w:rFonts w:hint="eastAsia"/>
        </w:rPr>
        <w:t>52《钢管混凝土结构技术规范》GB 50936</w:t>
      </w:r>
    </w:p>
    <w:p>
      <w:pPr>
        <w:ind w:left="420" w:hanging="420" w:hangingChars="200"/>
      </w:pPr>
      <w:r>
        <w:rPr>
          <w:rFonts w:hint="eastAsia"/>
        </w:rPr>
        <w:t>53《建筑机电工程抗震设计规范》GB 50981</w:t>
      </w:r>
    </w:p>
    <w:p>
      <w:pPr>
        <w:ind w:left="420" w:hanging="420" w:hangingChars="200"/>
      </w:pPr>
      <w:r>
        <w:rPr>
          <w:rFonts w:hint="eastAsia"/>
        </w:rPr>
        <w:t>54《建筑机电工程抗震设计规范》GB 50981</w:t>
      </w:r>
    </w:p>
    <w:p>
      <w:pPr>
        <w:ind w:left="420" w:hanging="420" w:hangingChars="200"/>
      </w:pPr>
      <w:r>
        <w:rPr>
          <w:rFonts w:hint="eastAsia"/>
        </w:rPr>
        <w:t>55《建筑防烟排烟系统技术标准》GB 51251</w:t>
      </w:r>
    </w:p>
    <w:p>
      <w:pPr>
        <w:ind w:left="420" w:hanging="420" w:hangingChars="200"/>
      </w:pPr>
      <w:r>
        <w:rPr>
          <w:rFonts w:hint="eastAsia"/>
        </w:rPr>
        <w:t>56《消防应急照明和疏散指示系统技术标准》GB 51309</w:t>
      </w:r>
    </w:p>
    <w:p>
      <w:pPr>
        <w:ind w:left="420" w:hanging="420" w:hangingChars="200"/>
      </w:pPr>
      <w:r>
        <w:rPr>
          <w:rFonts w:hint="eastAsia"/>
        </w:rPr>
        <w:t>57《建筑材料放射性核素限量》GB 6566</w:t>
      </w:r>
    </w:p>
    <w:p>
      <w:pPr>
        <w:ind w:left="420" w:hanging="420" w:hangingChars="200"/>
      </w:pPr>
      <w:r>
        <w:rPr>
          <w:rFonts w:hint="eastAsia"/>
        </w:rPr>
        <w:t>58《非合金钢及细晶粒钢药芯焊丝》GB/T 10045</w:t>
      </w:r>
    </w:p>
    <w:p>
      <w:pPr>
        <w:ind w:left="420" w:hanging="420" w:hangingChars="200"/>
      </w:pPr>
      <w:r>
        <w:rPr>
          <w:rFonts w:hint="eastAsia"/>
        </w:rPr>
        <w:t>59《电阻凸焊用的凸点》GB/T 10258</w:t>
      </w:r>
    </w:p>
    <w:p>
      <w:pPr>
        <w:ind w:left="420" w:hanging="420" w:hangingChars="200"/>
      </w:pPr>
      <w:r>
        <w:rPr>
          <w:rFonts w:hint="eastAsia"/>
        </w:rPr>
        <w:t>60《电弧螺柱焊用圆柱头焊钉》GB/T 10433</w:t>
      </w:r>
    </w:p>
    <w:p>
      <w:pPr>
        <w:ind w:left="420" w:hanging="420" w:hangingChars="200"/>
      </w:pPr>
      <w:r>
        <w:rPr>
          <w:rFonts w:hint="eastAsia"/>
        </w:rPr>
        <w:t>61《热喷涂金属件表面预处理》GB/T 11373</w:t>
      </w:r>
    </w:p>
    <w:p>
      <w:pPr>
        <w:ind w:left="420" w:hanging="420" w:hangingChars="200"/>
      </w:pPr>
      <w:r>
        <w:rPr>
          <w:rFonts w:hint="eastAsia"/>
        </w:rPr>
        <w:t>62《钢结构用高强度大六角头螺栓》GB/T 1228</w:t>
      </w:r>
    </w:p>
    <w:p>
      <w:pPr>
        <w:ind w:left="420" w:hanging="420" w:hangingChars="200"/>
      </w:pPr>
      <w:r>
        <w:rPr>
          <w:rFonts w:hint="eastAsia"/>
        </w:rPr>
        <w:t>63《钢结构用高强度大六角头螺母》GB/T 1229</w:t>
      </w:r>
    </w:p>
    <w:p>
      <w:pPr>
        <w:ind w:left="420" w:hanging="420" w:hangingChars="200"/>
      </w:pPr>
      <w:r>
        <w:rPr>
          <w:rFonts w:hint="eastAsia"/>
        </w:rPr>
        <w:t>64《钢结构用高强度垫圈》GB/T 1230</w:t>
      </w:r>
    </w:p>
    <w:p>
      <w:pPr>
        <w:ind w:left="420" w:hanging="420" w:hangingChars="200"/>
      </w:pPr>
      <w:r>
        <w:rPr>
          <w:rFonts w:hint="eastAsia"/>
        </w:rPr>
        <w:t>65《钢结构用高强度大六角头螺栓、大六角头螺母、垫圈技术条件》GB/T 1231</w:t>
      </w:r>
    </w:p>
    <w:p>
      <w:pPr>
        <w:ind w:left="420" w:hanging="420" w:hangingChars="200"/>
      </w:pPr>
      <w:r>
        <w:rPr>
          <w:rFonts w:hint="eastAsia"/>
        </w:rPr>
        <w:t>66《埋弧焊用热强钢实心焊丝、药芯焊丝和焊丝-焊剂组合分类要求 》GB/T 12470</w:t>
      </w:r>
    </w:p>
    <w:p>
      <w:pPr>
        <w:ind w:left="420" w:hanging="420" w:hangingChars="200"/>
      </w:pPr>
      <w:r>
        <w:rPr>
          <w:rFonts w:hint="eastAsia"/>
        </w:rPr>
        <w:t>67《金属覆盖层钢铁制件热侵镀锌层技术要求及试验方法》GB/T 13912</w:t>
      </w:r>
    </w:p>
    <w:p>
      <w:pPr>
        <w:ind w:left="420" w:hanging="420" w:hangingChars="200"/>
      </w:pPr>
      <w:r>
        <w:rPr>
          <w:rFonts w:hint="eastAsia"/>
        </w:rPr>
        <w:t>68《预应力混凝土空心板》GB/T 14040</w:t>
      </w:r>
    </w:p>
    <w:p>
      <w:pPr>
        <w:ind w:left="420" w:hanging="420" w:hangingChars="200"/>
      </w:pPr>
      <w:r>
        <w:rPr>
          <w:rFonts w:hint="eastAsia"/>
        </w:rPr>
        <w:t>69《工业产品保证文件 总则》GB/T 14436</w:t>
      </w:r>
    </w:p>
    <w:p>
      <w:pPr>
        <w:ind w:left="420" w:hanging="420" w:hangingChars="200"/>
      </w:pPr>
      <w:r>
        <w:rPr>
          <w:rFonts w:hint="eastAsia"/>
        </w:rPr>
        <w:t>70《熔化焊用钢丝》GB/T 14957</w:t>
      </w:r>
    </w:p>
    <w:p>
      <w:pPr>
        <w:ind w:left="420" w:hanging="420" w:hangingChars="200"/>
      </w:pPr>
      <w:r>
        <w:rPr>
          <w:rFonts w:hint="eastAsia"/>
        </w:rPr>
        <w:t>71《蒸压加气混凝土板》GB/T 15762</w:t>
      </w:r>
    </w:p>
    <w:p>
      <w:pPr>
        <w:ind w:left="420" w:hanging="420" w:hangingChars="200"/>
      </w:pPr>
      <w:r>
        <w:rPr>
          <w:rFonts w:hint="eastAsia"/>
        </w:rPr>
        <w:t>72《低合金高强度结构钢》GB/T 1591</w:t>
      </w:r>
    </w:p>
    <w:p>
      <w:pPr>
        <w:ind w:left="420" w:hanging="420" w:hangingChars="200"/>
      </w:pPr>
      <w:r>
        <w:rPr>
          <w:rFonts w:hint="eastAsia"/>
        </w:rPr>
        <w:t>73《热强钢药芯焊丝 》GB/T 17493</w:t>
      </w:r>
    </w:p>
    <w:p>
      <w:pPr>
        <w:ind w:left="420" w:hanging="420" w:hangingChars="200"/>
      </w:pPr>
      <w:r>
        <w:rPr>
          <w:rFonts w:hint="eastAsia"/>
        </w:rPr>
        <w:t>74《建筑幕墙》GB/T 21086</w:t>
      </w:r>
    </w:p>
    <w:p>
      <w:pPr>
        <w:ind w:left="420" w:hanging="420" w:hangingChars="200"/>
      </w:pPr>
      <w:r>
        <w:rPr>
          <w:rFonts w:hint="eastAsia"/>
        </w:rPr>
        <w:t>75《紧固件机械性能、螺栓、螺钉和螺柱》GB/T 3098.1</w:t>
      </w:r>
    </w:p>
    <w:p>
      <w:pPr>
        <w:ind w:left="420" w:hanging="420" w:hangingChars="200"/>
      </w:pPr>
      <w:r>
        <w:rPr>
          <w:rFonts w:hint="eastAsia"/>
        </w:rPr>
        <w:t>76《紧固件公差螺栓、螺钉、螺柱和螺母》GB/T 3103.1</w:t>
      </w:r>
    </w:p>
    <w:p>
      <w:pPr>
        <w:ind w:left="420" w:hanging="420" w:hangingChars="200"/>
      </w:pPr>
      <w:r>
        <w:rPr>
          <w:rFonts w:hint="eastAsia"/>
        </w:rPr>
        <w:t>77《焊缝符号表示法》GB/T 324</w:t>
      </w:r>
    </w:p>
    <w:p>
      <w:pPr>
        <w:ind w:left="420" w:hanging="420" w:hangingChars="200"/>
      </w:pPr>
      <w:r>
        <w:rPr>
          <w:rFonts w:hint="eastAsia"/>
        </w:rPr>
        <w:t>78《钢结构用扭剪型高强度螺栓连接副》GB/T 3632</w:t>
      </w:r>
    </w:p>
    <w:p>
      <w:pPr>
        <w:ind w:left="420" w:hanging="420" w:hangingChars="200"/>
      </w:pPr>
      <w:r>
        <w:rPr>
          <w:rFonts w:hint="eastAsia"/>
        </w:rPr>
        <w:t>79《耐候结构钢》GB/T 4171</w:t>
      </w:r>
    </w:p>
    <w:p>
      <w:pPr>
        <w:ind w:left="420" w:hanging="420" w:hangingChars="200"/>
      </w:pPr>
      <w:r>
        <w:rPr>
          <w:rFonts w:hint="eastAsia"/>
        </w:rPr>
        <w:t>80《木骨架组合墙体技术标准》GB/T 50361</w:t>
      </w:r>
    </w:p>
    <w:p>
      <w:pPr>
        <w:ind w:left="420" w:hanging="420" w:hangingChars="200"/>
      </w:pPr>
      <w:r>
        <w:rPr>
          <w:rFonts w:hint="eastAsia"/>
        </w:rPr>
        <w:t>81《非合金钢及细晶粒钢焊条》GB/T 5117</w:t>
      </w:r>
    </w:p>
    <w:p>
      <w:pPr>
        <w:ind w:left="420" w:hanging="420" w:hangingChars="200"/>
      </w:pPr>
      <w:r>
        <w:rPr>
          <w:rFonts w:hint="eastAsia"/>
        </w:rPr>
        <w:t>82《装配式混凝土建筑技术标准》GB/T 51231</w:t>
      </w:r>
    </w:p>
    <w:p>
      <w:pPr>
        <w:ind w:left="420" w:hanging="420" w:hangingChars="200"/>
      </w:pPr>
      <w:r>
        <w:rPr>
          <w:rFonts w:hint="eastAsia"/>
        </w:rPr>
        <w:t>83《装配式钢结构建筑技术标准》GB/T 51232</w:t>
      </w:r>
    </w:p>
    <w:p>
      <w:pPr>
        <w:ind w:left="420" w:hanging="420" w:hangingChars="200"/>
      </w:pPr>
      <w:r>
        <w:rPr>
          <w:rFonts w:hint="eastAsia"/>
        </w:rPr>
        <w:t>84《埋弧焊用非合金钢及细晶粒钢实心焊丝、药芯焊丝和焊丝-焊剂组合分类要求》GB/T 52936</w:t>
      </w:r>
    </w:p>
    <w:p>
      <w:pPr>
        <w:ind w:left="420" w:hanging="420" w:hangingChars="200"/>
      </w:pPr>
      <w:r>
        <w:rPr>
          <w:rFonts w:hint="eastAsia"/>
        </w:rPr>
        <w:t>85《六角头螺栓C级》GB/T 5780</w:t>
      </w:r>
    </w:p>
    <w:p>
      <w:pPr>
        <w:ind w:left="420" w:hanging="420" w:hangingChars="200"/>
      </w:pPr>
      <w:r>
        <w:rPr>
          <w:rFonts w:hint="eastAsia"/>
        </w:rPr>
        <w:t>86《六角头螺栓》GB/T 5782</w:t>
      </w:r>
    </w:p>
    <w:p>
      <w:pPr>
        <w:ind w:left="420" w:hanging="420" w:hangingChars="200"/>
      </w:pPr>
      <w:r>
        <w:rPr>
          <w:rFonts w:hint="eastAsia"/>
        </w:rPr>
        <w:t>87《碳素结构钢》GB/T 700</w:t>
      </w:r>
    </w:p>
    <w:p>
      <w:pPr>
        <w:ind w:left="420" w:hanging="420" w:hangingChars="200"/>
      </w:pPr>
      <w:r>
        <w:rPr>
          <w:rFonts w:hint="eastAsia"/>
        </w:rPr>
        <w:t>88《熔化极气体保护电弧焊用非合金钢及细晶粒钢实心焊丝》GB/T 8110</w:t>
      </w:r>
    </w:p>
    <w:p>
      <w:pPr>
        <w:ind w:left="420" w:hanging="420" w:hangingChars="200"/>
      </w:pPr>
      <w:r>
        <w:rPr>
          <w:rFonts w:hint="eastAsia"/>
        </w:rPr>
        <w:t>89《阻焊 电阻焊机 机械和电气要求》GB/T 8366</w:t>
      </w:r>
    </w:p>
    <w:p>
      <w:pPr>
        <w:ind w:left="420" w:hanging="420" w:hangingChars="200"/>
      </w:pPr>
      <w:r>
        <w:rPr>
          <w:rFonts w:hint="eastAsia"/>
        </w:rPr>
        <w:t>90《铝合金门窗》GB/T 8478</w:t>
      </w:r>
    </w:p>
    <w:p>
      <w:pPr>
        <w:ind w:left="420" w:hanging="420" w:hangingChars="200"/>
      </w:pPr>
      <w:r>
        <w:rPr>
          <w:rFonts w:hint="eastAsia"/>
        </w:rPr>
        <w:t>91《涂覆涂料前钢材表面处理 表面清洁度的目视评定》GB/T 8923</w:t>
      </w:r>
    </w:p>
    <w:p>
      <w:pPr>
        <w:ind w:left="420" w:hanging="420" w:hangingChars="200"/>
      </w:pPr>
      <w:r>
        <w:rPr>
          <w:rFonts w:hint="eastAsia"/>
        </w:rPr>
        <w:t>92《涂覆涂料前钢材表面处理表面清洁度的目视评定》GB/T 8923.2</w:t>
      </w:r>
    </w:p>
    <w:p>
      <w:pPr>
        <w:ind w:left="420" w:hanging="420" w:hangingChars="200"/>
      </w:pPr>
      <w:r>
        <w:rPr>
          <w:rFonts w:hint="eastAsia"/>
        </w:rPr>
        <w:t>93《热喷涂金属和其他无机覆盖层锌、铝及其合金》GB/T 9793</w:t>
      </w:r>
    </w:p>
    <w:p>
      <w:pPr>
        <w:ind w:left="420" w:hanging="420" w:hangingChars="200"/>
      </w:pPr>
      <w:r>
        <w:rPr>
          <w:rFonts w:hint="eastAsia"/>
        </w:rPr>
        <w:t>94《建筑构件耐火试验方法第1部分》GB/T 9978.1</w:t>
      </w:r>
    </w:p>
    <w:p>
      <w:pPr>
        <w:ind w:left="420" w:hanging="420" w:hangingChars="200"/>
      </w:pPr>
      <w:r>
        <w:rPr>
          <w:rFonts w:hint="eastAsia"/>
        </w:rPr>
        <w:t>95《建筑构件耐火试验方法第8部分》GB/T 9978.8</w:t>
      </w:r>
    </w:p>
    <w:p>
      <w:pPr>
        <w:ind w:left="420" w:hanging="420" w:hangingChars="200"/>
      </w:pPr>
      <w:r>
        <w:rPr>
          <w:rFonts w:hint="eastAsia"/>
        </w:rPr>
        <w:t>96《有线电视网络工程设计标准》GB/T50200</w:t>
      </w:r>
    </w:p>
    <w:p>
      <w:pPr>
        <w:ind w:left="420" w:hanging="420" w:hangingChars="200"/>
      </w:pPr>
      <w:r>
        <w:rPr>
          <w:rFonts w:hint="eastAsia"/>
        </w:rPr>
        <w:t>97《建筑隔墙用轻质条板通用技术要求》JG/T 169</w:t>
      </w:r>
    </w:p>
    <w:p>
      <w:pPr>
        <w:ind w:left="420" w:hanging="420" w:hangingChars="200"/>
      </w:pPr>
      <w:r>
        <w:rPr>
          <w:rFonts w:hint="eastAsia"/>
        </w:rPr>
        <w:t>98《外墙用非承重纤维增强水泥板》JG/T 396</w:t>
      </w:r>
    </w:p>
    <w:p>
      <w:pPr>
        <w:ind w:left="420" w:hanging="420" w:hangingChars="200"/>
      </w:pPr>
      <w:r>
        <w:rPr>
          <w:rFonts w:hint="eastAsia"/>
        </w:rPr>
        <w:t>99《装配式混凝土结构技术规程》JGJ 1</w:t>
      </w:r>
    </w:p>
    <w:p>
      <w:pPr>
        <w:ind w:left="420" w:hanging="420" w:hangingChars="200"/>
      </w:pPr>
      <w:r>
        <w:rPr>
          <w:rFonts w:hint="eastAsia"/>
        </w:rPr>
        <w:t>100《玻璃幕墙工程技术规范》JGJ 102</w:t>
      </w:r>
    </w:p>
    <w:p>
      <w:pPr>
        <w:ind w:left="420" w:hanging="420" w:hangingChars="200"/>
      </w:pPr>
      <w:r>
        <w:rPr>
          <w:rFonts w:hint="eastAsia"/>
        </w:rPr>
        <w:t>101《金属与石材幕墙工程技术规范》JGJ 133</w:t>
      </w:r>
    </w:p>
    <w:p>
      <w:pPr>
        <w:ind w:left="420" w:hanging="420" w:hangingChars="200"/>
      </w:pPr>
      <w:r>
        <w:rPr>
          <w:rFonts w:hint="eastAsia"/>
        </w:rPr>
        <w:t>102《组合结构设计规范》JGJ 138</w:t>
      </w:r>
    </w:p>
    <w:p>
      <w:pPr>
        <w:ind w:left="420" w:hanging="420" w:hangingChars="200"/>
      </w:pPr>
      <w:r>
        <w:rPr>
          <w:rFonts w:hint="eastAsia"/>
        </w:rPr>
        <w:t>103《轻型钢结构住宅技术规程》JGJ 209</w:t>
      </w:r>
    </w:p>
    <w:p>
      <w:pPr>
        <w:ind w:left="420" w:hanging="420" w:hangingChars="200"/>
      </w:pPr>
      <w:r>
        <w:rPr>
          <w:rFonts w:hint="eastAsia"/>
        </w:rPr>
        <w:t>104《底层冷弯薄壁型钢房屋建筑技术规程》JGJ 227</w:t>
      </w:r>
    </w:p>
    <w:p>
      <w:pPr>
        <w:ind w:left="420" w:hanging="420" w:hangingChars="200"/>
      </w:pPr>
      <w:r>
        <w:rPr>
          <w:rFonts w:hint="eastAsia"/>
        </w:rPr>
        <w:t>105《住宅建筑电气设计规范》JGJ 242</w:t>
      </w:r>
    </w:p>
    <w:p>
      <w:pPr>
        <w:ind w:left="420" w:hanging="420" w:hangingChars="200"/>
      </w:pPr>
      <w:r>
        <w:rPr>
          <w:rFonts w:hint="eastAsia"/>
        </w:rPr>
        <w:t>106《高层建筑混凝土结构技术规程》JGJ 3</w:t>
      </w:r>
    </w:p>
    <w:p>
      <w:pPr>
        <w:ind w:left="420" w:hanging="420" w:hangingChars="200"/>
      </w:pPr>
      <w:r>
        <w:rPr>
          <w:rFonts w:hint="eastAsia"/>
        </w:rPr>
        <w:t>107《人造板材幕墙工程技术规范》JGJ 336</w:t>
      </w:r>
    </w:p>
    <w:p>
      <w:pPr>
        <w:ind w:left="420" w:hanging="420" w:hangingChars="200"/>
      </w:pPr>
      <w:r>
        <w:rPr>
          <w:rFonts w:hint="eastAsia"/>
        </w:rPr>
        <w:t>108《非结构构件抗震设计规范》JGJ 339</w:t>
      </w:r>
    </w:p>
    <w:p>
      <w:pPr>
        <w:ind w:left="420" w:hanging="420" w:hangingChars="200"/>
      </w:pPr>
      <w:r>
        <w:rPr>
          <w:rFonts w:hint="eastAsia"/>
        </w:rPr>
        <w:t>109《公共建筑吊顶工程技术规程》JGJ 345</w:t>
      </w:r>
    </w:p>
    <w:p>
      <w:pPr>
        <w:ind w:left="420" w:hanging="420" w:hangingChars="200"/>
      </w:pPr>
      <w:r>
        <w:rPr>
          <w:rFonts w:hint="eastAsia"/>
        </w:rPr>
        <w:t>110《钢结构高强度螺栓连接技术规程》JGJ 82</w:t>
      </w:r>
    </w:p>
    <w:p>
      <w:pPr>
        <w:ind w:left="420" w:hanging="420" w:hangingChars="200"/>
      </w:pPr>
      <w:r>
        <w:rPr>
          <w:rFonts w:hint="eastAsia"/>
        </w:rPr>
        <w:t>111《高层民用建筑钢结构技术规程》JGJ 99</w:t>
      </w:r>
    </w:p>
    <w:p>
      <w:pPr>
        <w:ind w:left="420" w:hanging="420" w:hangingChars="200"/>
      </w:pPr>
      <w:r>
        <w:rPr>
          <w:rFonts w:hint="eastAsia"/>
        </w:rPr>
        <w:t>112《建筑轻质条板隔墙技术规程》JGJ/T 157</w:t>
      </w:r>
    </w:p>
    <w:p>
      <w:pPr>
        <w:ind w:left="420" w:hanging="420" w:hangingChars="200"/>
      </w:pPr>
      <w:r>
        <w:rPr>
          <w:rFonts w:hint="eastAsia"/>
        </w:rPr>
        <w:t>113《蒸压加气混凝土制品应用技术标准》JGJ/T 17</w:t>
      </w:r>
    </w:p>
    <w:p>
      <w:pPr>
        <w:ind w:left="420" w:hanging="420" w:hangingChars="200"/>
      </w:pPr>
      <w:r>
        <w:rPr>
          <w:rFonts w:hint="eastAsia"/>
        </w:rPr>
        <w:t>114《建筑钢结构防腐蚀技术规程》JGJ/T 251</w:t>
      </w:r>
    </w:p>
    <w:p>
      <w:pPr>
        <w:ind w:left="420" w:hanging="420" w:hangingChars="200"/>
      </w:pPr>
      <w:r>
        <w:rPr>
          <w:rFonts w:hint="eastAsia"/>
        </w:rPr>
        <w:t>115《自密实混凝土应用技术规范》JGJ/T 283</w:t>
      </w:r>
    </w:p>
    <w:p>
      <w:pPr>
        <w:ind w:left="420" w:hanging="420" w:hangingChars="200"/>
      </w:pPr>
      <w:r>
        <w:rPr>
          <w:rFonts w:hint="eastAsia"/>
        </w:rPr>
        <w:t>116《住宅室内装饰装修工程质量验收规范》JGJ/T 304</w:t>
      </w:r>
    </w:p>
    <w:p>
      <w:pPr>
        <w:ind w:left="420" w:hanging="420" w:hangingChars="200"/>
      </w:pPr>
      <w:r>
        <w:rPr>
          <w:rFonts w:hint="eastAsia"/>
        </w:rPr>
        <w:t>117《钢板剪力墙技术规程》JGJ/T 380</w:t>
      </w:r>
    </w:p>
    <w:p>
      <w:pPr>
        <w:ind w:left="420" w:hanging="420" w:hangingChars="200"/>
      </w:pPr>
      <w:r>
        <w:rPr>
          <w:rFonts w:hint="eastAsia"/>
        </w:rPr>
        <w:t>118《钢结构防火涂料应用技术规程》T/CECS 24</w:t>
      </w:r>
    </w:p>
    <w:p>
      <w:pPr>
        <w:ind w:left="420" w:hanging="420" w:hangingChars="200"/>
      </w:pPr>
      <w:r>
        <w:rPr>
          <w:rFonts w:hint="eastAsia"/>
        </w:rPr>
        <w:t>119《钢结构住宅设计规范》CECS 261</w:t>
      </w:r>
    </w:p>
    <w:p>
      <w:pPr>
        <w:ind w:left="420" w:hanging="420" w:hangingChars="200"/>
      </w:pPr>
      <w:r>
        <w:rPr>
          <w:rFonts w:hint="eastAsia"/>
        </w:rPr>
        <w:t>120《重庆市公共建筑节能（绿色建筑）设计标准》DBJ 50-052</w:t>
      </w:r>
    </w:p>
    <w:p>
      <w:pPr>
        <w:ind w:left="420" w:hanging="420" w:hangingChars="200"/>
      </w:pPr>
      <w:r>
        <w:rPr>
          <w:rFonts w:hint="eastAsia"/>
        </w:rPr>
        <w:t>121《重庆市居住建筑节能65%设计标准》DBJ 50-071</w:t>
      </w:r>
    </w:p>
    <w:p>
      <w:pPr>
        <w:ind w:left="420" w:hanging="420" w:hangingChars="200"/>
      </w:pPr>
      <w:r>
        <w:rPr>
          <w:rFonts w:hint="eastAsia"/>
        </w:rPr>
        <w:t>122《重庆市居住建筑节能50%设计标准》DBJ 50-102</w:t>
      </w:r>
    </w:p>
    <w:p>
      <w:pPr>
        <w:ind w:left="420" w:hanging="420" w:hangingChars="200"/>
      </w:pPr>
      <w:r>
        <w:rPr>
          <w:rFonts w:hint="eastAsia"/>
        </w:rPr>
        <w:t>123《四川省居住建筑节能设计标准》DBJ 51/5027</w:t>
      </w:r>
    </w:p>
    <w:p>
      <w:pPr>
        <w:ind w:left="420" w:hanging="420" w:hangingChars="200"/>
      </w:pPr>
      <w:r>
        <w:rPr>
          <w:rFonts w:hint="eastAsia"/>
        </w:rPr>
        <w:t>124《上海多高层钢结构住宅技术规程》DG/TJ 08-2029</w:t>
      </w:r>
    </w:p>
    <w:p>
      <w:pPr>
        <w:ind w:left="420" w:hanging="420" w:hangingChars="200"/>
      </w:pPr>
      <w:r>
        <w:rPr>
          <w:rFonts w:hint="eastAsia"/>
        </w:rPr>
        <w:t>125《预支混凝土外墙挂板图集》16G 333/16J 110-2</w:t>
      </w:r>
    </w:p>
    <w:p>
      <w:pPr>
        <w:ind w:left="420" w:hanging="420" w:hangingChars="200"/>
      </w:pPr>
      <w:r>
        <w:rPr>
          <w:rFonts w:hint="eastAsia"/>
        </w:rPr>
        <w:t>126《Buildings Code Requirements for Structural Concrete and Commentary》ACI 318</w:t>
      </w:r>
    </w:p>
    <w:p>
      <w:pPr>
        <w:ind w:left="420" w:hanging="420" w:hangingChars="200"/>
      </w:pPr>
      <w:r>
        <w:rPr>
          <w:rFonts w:hint="eastAsia"/>
        </w:rPr>
        <w:t>127《Specification for Structural Steel Buildings》ANSI/AISC 360</w:t>
      </w:r>
    </w:p>
    <w:p>
      <w:pPr>
        <w:ind w:left="420" w:hanging="420" w:hangingChars="200"/>
      </w:pPr>
      <w:r>
        <w:rPr>
          <w:rFonts w:hint="eastAsia"/>
        </w:rPr>
        <w:t>128《Eurocode4：Design of Composite Steel and Concrete Structures-Part 1-1：General Rules and Rules for Buildings》BS EN1994-1-1:2004</w:t>
      </w:r>
    </w:p>
    <w:p/>
    <w:sectPr>
      <w:pgSz w:w="11906" w:h="16838"/>
      <w:pgMar w:top="1474" w:right="1474" w:bottom="1474" w:left="1588" w:header="1418" w:footer="567" w:gutter="0"/>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494599"/>
    </w:sdtPr>
    <w:sdtContent>
      <w:p>
        <w:pPr>
          <w:pStyle w:val="25"/>
          <w:ind w:firstLine="360"/>
          <w:jc w:val="center"/>
        </w:pPr>
        <w:r>
          <w:fldChar w:fldCharType="begin"/>
        </w:r>
        <w:r>
          <w:instrText xml:space="preserve">PAGE   \* MERGEFORMAT</w:instrText>
        </w:r>
        <w:r>
          <w:fldChar w:fldCharType="separate"/>
        </w:r>
        <w:r>
          <w:rPr>
            <w:lang w:val="zh-CN"/>
          </w:rPr>
          <w:t>71</w:t>
        </w:r>
        <w:r>
          <w:rPr>
            <w:lang w:val="zh-CN"/>
          </w:rPr>
          <w:fldChar w:fldCharType="end"/>
        </w:r>
      </w:p>
    </w:sdtContent>
  </w:sdt>
  <w:p>
    <w:pPr>
      <w:pStyle w:val="25"/>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7284"/>
        <w:tab w:val="right" w:pos="9355"/>
      </w:tabs>
      <w:wordWrap w:val="0"/>
      <w:ind w:firstLine="0" w:firstLineChars="0"/>
      <w:jc w:val="right"/>
      <w:rPr>
        <w:u w:val="single"/>
      </w:rPr>
    </w:pPr>
    <w:r>
      <w:rPr>
        <w:rFonts w:hAnsi="Calibri" w:cs="Calibri" w:asciiTheme="minorHAnsi"/>
        <w:bCs/>
        <w:sz w:val="28"/>
        <w:u w:val="single"/>
      </w:rPr>
      <w:t>DBJxx-xx-20xx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ADE70"/>
    <w:multiLevelType w:val="multilevel"/>
    <w:tmpl w:val="F8DADE70"/>
    <w:lvl w:ilvl="0" w:tentative="0">
      <w:start w:val="1"/>
      <w:numFmt w:val="decimal"/>
      <w:pStyle w:val="2"/>
      <w:suff w:val="nothing"/>
      <w:lvlText w:val="%1 "/>
      <w:lvlJc w:val="left"/>
      <w:pPr>
        <w:tabs>
          <w:tab w:val="left" w:pos="0"/>
        </w:tabs>
        <w:ind w:left="0" w:firstLine="0"/>
      </w:pPr>
      <w:rPr>
        <w:rFonts w:hint="default" w:ascii="Times New Roman" w:hAnsi="Times New Roman" w:cs="Times New Roman"/>
      </w:rPr>
    </w:lvl>
    <w:lvl w:ilvl="1" w:tentative="0">
      <w:start w:val="1"/>
      <w:numFmt w:val="decimal"/>
      <w:pStyle w:val="3"/>
      <w:suff w:val="nothing"/>
      <w:lvlText w:val="%1.%2 "/>
      <w:lvlJc w:val="left"/>
      <w:pPr>
        <w:ind w:left="4395" w:firstLine="0"/>
      </w:pPr>
      <w:rPr>
        <w:rFonts w:hint="default" w:ascii="Times New Roman" w:hAnsi="Times New Roman" w:cs="Times New Roman"/>
        <w:color w:val="000000" w:themeColor="text1"/>
      </w:rPr>
    </w:lvl>
    <w:lvl w:ilvl="2" w:tentative="0">
      <w:start w:val="1"/>
      <w:numFmt w:val="decimal"/>
      <w:pStyle w:val="4"/>
      <w:suff w:val="nothing"/>
      <w:lvlText w:val="%1.%2.%3  "/>
      <w:lvlJc w:val="left"/>
      <w:pPr>
        <w:ind w:left="710" w:firstLine="0"/>
      </w:pPr>
      <w:rPr>
        <w:rFonts w:hint="default" w:ascii="Times New Roman" w:hAnsi="Times New Roman" w:cs="Times New Roman"/>
        <w:b/>
        <w:i w:val="0"/>
        <w:color w:val="auto"/>
        <w:sz w:val="21"/>
        <w:szCs w:val="21"/>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zNDhhY2MzNGQ2MzdjNTljMDBhMzdjNjBiNjdjOGUifQ=="/>
  </w:docVars>
  <w:rsids>
    <w:rsidRoot w:val="00035925"/>
    <w:rsid w:val="00000244"/>
    <w:rsid w:val="00001126"/>
    <w:rsid w:val="0000185F"/>
    <w:rsid w:val="00003BA0"/>
    <w:rsid w:val="0000586F"/>
    <w:rsid w:val="00005921"/>
    <w:rsid w:val="00006537"/>
    <w:rsid w:val="0001299D"/>
    <w:rsid w:val="00013381"/>
    <w:rsid w:val="00013D86"/>
    <w:rsid w:val="00013E02"/>
    <w:rsid w:val="0001447C"/>
    <w:rsid w:val="0001780A"/>
    <w:rsid w:val="00017E58"/>
    <w:rsid w:val="00020EBD"/>
    <w:rsid w:val="0002143C"/>
    <w:rsid w:val="00021994"/>
    <w:rsid w:val="00021C03"/>
    <w:rsid w:val="000221B3"/>
    <w:rsid w:val="0002284F"/>
    <w:rsid w:val="000232B2"/>
    <w:rsid w:val="000238E9"/>
    <w:rsid w:val="00024732"/>
    <w:rsid w:val="00025A65"/>
    <w:rsid w:val="00025B62"/>
    <w:rsid w:val="00026281"/>
    <w:rsid w:val="00026C31"/>
    <w:rsid w:val="00027280"/>
    <w:rsid w:val="00031CD2"/>
    <w:rsid w:val="000320A7"/>
    <w:rsid w:val="00032759"/>
    <w:rsid w:val="00032CC0"/>
    <w:rsid w:val="00032E8A"/>
    <w:rsid w:val="00034327"/>
    <w:rsid w:val="000352CF"/>
    <w:rsid w:val="000357C7"/>
    <w:rsid w:val="00035925"/>
    <w:rsid w:val="0003781E"/>
    <w:rsid w:val="0004047E"/>
    <w:rsid w:val="00040D2D"/>
    <w:rsid w:val="0004225B"/>
    <w:rsid w:val="00043EF0"/>
    <w:rsid w:val="00044945"/>
    <w:rsid w:val="00045BD2"/>
    <w:rsid w:val="000477D1"/>
    <w:rsid w:val="00050485"/>
    <w:rsid w:val="00050617"/>
    <w:rsid w:val="00050CB0"/>
    <w:rsid w:val="00050E45"/>
    <w:rsid w:val="00051880"/>
    <w:rsid w:val="000546FD"/>
    <w:rsid w:val="000554CE"/>
    <w:rsid w:val="00055707"/>
    <w:rsid w:val="00055ACE"/>
    <w:rsid w:val="0005654D"/>
    <w:rsid w:val="000603D2"/>
    <w:rsid w:val="00060850"/>
    <w:rsid w:val="00061AE8"/>
    <w:rsid w:val="00061C97"/>
    <w:rsid w:val="00065807"/>
    <w:rsid w:val="00065BC4"/>
    <w:rsid w:val="000669F5"/>
    <w:rsid w:val="00067CDF"/>
    <w:rsid w:val="00067F24"/>
    <w:rsid w:val="000707B7"/>
    <w:rsid w:val="000710E0"/>
    <w:rsid w:val="000730A8"/>
    <w:rsid w:val="00073D50"/>
    <w:rsid w:val="000740EB"/>
    <w:rsid w:val="000741C6"/>
    <w:rsid w:val="000742D0"/>
    <w:rsid w:val="00074FBE"/>
    <w:rsid w:val="0007721A"/>
    <w:rsid w:val="00080700"/>
    <w:rsid w:val="00080934"/>
    <w:rsid w:val="00080D58"/>
    <w:rsid w:val="0008119F"/>
    <w:rsid w:val="00081C30"/>
    <w:rsid w:val="00083326"/>
    <w:rsid w:val="00083A09"/>
    <w:rsid w:val="00083D8B"/>
    <w:rsid w:val="00084DB3"/>
    <w:rsid w:val="0008537D"/>
    <w:rsid w:val="00085FCA"/>
    <w:rsid w:val="0008628A"/>
    <w:rsid w:val="000865E8"/>
    <w:rsid w:val="00086D03"/>
    <w:rsid w:val="00087694"/>
    <w:rsid w:val="0009005E"/>
    <w:rsid w:val="00090225"/>
    <w:rsid w:val="00092857"/>
    <w:rsid w:val="00092CD0"/>
    <w:rsid w:val="00092DA8"/>
    <w:rsid w:val="00093E32"/>
    <w:rsid w:val="00094A9E"/>
    <w:rsid w:val="00094E25"/>
    <w:rsid w:val="00094F9C"/>
    <w:rsid w:val="000959A9"/>
    <w:rsid w:val="00096167"/>
    <w:rsid w:val="00096301"/>
    <w:rsid w:val="00097C66"/>
    <w:rsid w:val="000A20A9"/>
    <w:rsid w:val="000A3C24"/>
    <w:rsid w:val="000A3DA9"/>
    <w:rsid w:val="000A48B1"/>
    <w:rsid w:val="000A5EC5"/>
    <w:rsid w:val="000A6374"/>
    <w:rsid w:val="000A68CB"/>
    <w:rsid w:val="000B0633"/>
    <w:rsid w:val="000B193E"/>
    <w:rsid w:val="000B3143"/>
    <w:rsid w:val="000B38A5"/>
    <w:rsid w:val="000B3902"/>
    <w:rsid w:val="000B4DCA"/>
    <w:rsid w:val="000B524B"/>
    <w:rsid w:val="000B55E5"/>
    <w:rsid w:val="000B5B58"/>
    <w:rsid w:val="000B64DE"/>
    <w:rsid w:val="000C1F0D"/>
    <w:rsid w:val="000C2232"/>
    <w:rsid w:val="000C37B3"/>
    <w:rsid w:val="000C4078"/>
    <w:rsid w:val="000C4DA0"/>
    <w:rsid w:val="000C57DF"/>
    <w:rsid w:val="000C6B05"/>
    <w:rsid w:val="000C6DD6"/>
    <w:rsid w:val="000C73D4"/>
    <w:rsid w:val="000C7CE1"/>
    <w:rsid w:val="000D04E8"/>
    <w:rsid w:val="000D0600"/>
    <w:rsid w:val="000D06F7"/>
    <w:rsid w:val="000D13EB"/>
    <w:rsid w:val="000D28A5"/>
    <w:rsid w:val="000D29C8"/>
    <w:rsid w:val="000D2C56"/>
    <w:rsid w:val="000D3613"/>
    <w:rsid w:val="000D365A"/>
    <w:rsid w:val="000D3809"/>
    <w:rsid w:val="000D3D4C"/>
    <w:rsid w:val="000D4F51"/>
    <w:rsid w:val="000D718B"/>
    <w:rsid w:val="000D7357"/>
    <w:rsid w:val="000E02F6"/>
    <w:rsid w:val="000E038F"/>
    <w:rsid w:val="000E0C46"/>
    <w:rsid w:val="000E0E16"/>
    <w:rsid w:val="000E0F6C"/>
    <w:rsid w:val="000E2134"/>
    <w:rsid w:val="000E21F0"/>
    <w:rsid w:val="000E400B"/>
    <w:rsid w:val="000E4AE2"/>
    <w:rsid w:val="000E6177"/>
    <w:rsid w:val="000E678C"/>
    <w:rsid w:val="000E6DF3"/>
    <w:rsid w:val="000E7823"/>
    <w:rsid w:val="000F0201"/>
    <w:rsid w:val="000F030C"/>
    <w:rsid w:val="000F129C"/>
    <w:rsid w:val="000F1917"/>
    <w:rsid w:val="000F25A5"/>
    <w:rsid w:val="000F2BC2"/>
    <w:rsid w:val="000F3A77"/>
    <w:rsid w:val="000F71D8"/>
    <w:rsid w:val="000F72B6"/>
    <w:rsid w:val="000F7A07"/>
    <w:rsid w:val="001014B8"/>
    <w:rsid w:val="001017D2"/>
    <w:rsid w:val="001017E0"/>
    <w:rsid w:val="00103C72"/>
    <w:rsid w:val="00103C77"/>
    <w:rsid w:val="001056DE"/>
    <w:rsid w:val="00105958"/>
    <w:rsid w:val="00106109"/>
    <w:rsid w:val="001065AE"/>
    <w:rsid w:val="001079E7"/>
    <w:rsid w:val="00107ACC"/>
    <w:rsid w:val="00110717"/>
    <w:rsid w:val="0011121E"/>
    <w:rsid w:val="00111BBA"/>
    <w:rsid w:val="001124C0"/>
    <w:rsid w:val="00113594"/>
    <w:rsid w:val="0011506A"/>
    <w:rsid w:val="001218CF"/>
    <w:rsid w:val="0012331C"/>
    <w:rsid w:val="00123717"/>
    <w:rsid w:val="00123A8E"/>
    <w:rsid w:val="0012648B"/>
    <w:rsid w:val="00126FBD"/>
    <w:rsid w:val="00127A0F"/>
    <w:rsid w:val="00127BD5"/>
    <w:rsid w:val="00130FDB"/>
    <w:rsid w:val="0013108C"/>
    <w:rsid w:val="0013175F"/>
    <w:rsid w:val="0013302C"/>
    <w:rsid w:val="00133403"/>
    <w:rsid w:val="001335E3"/>
    <w:rsid w:val="00133F31"/>
    <w:rsid w:val="00134855"/>
    <w:rsid w:val="0013486E"/>
    <w:rsid w:val="00135B3A"/>
    <w:rsid w:val="0013649D"/>
    <w:rsid w:val="0013782F"/>
    <w:rsid w:val="0014003D"/>
    <w:rsid w:val="001417E5"/>
    <w:rsid w:val="00141E0D"/>
    <w:rsid w:val="00144A73"/>
    <w:rsid w:val="001451AB"/>
    <w:rsid w:val="00145ADC"/>
    <w:rsid w:val="00145B10"/>
    <w:rsid w:val="00145F20"/>
    <w:rsid w:val="001463DE"/>
    <w:rsid w:val="0014655D"/>
    <w:rsid w:val="001465C5"/>
    <w:rsid w:val="0015077F"/>
    <w:rsid w:val="001507DA"/>
    <w:rsid w:val="001512B4"/>
    <w:rsid w:val="00151B12"/>
    <w:rsid w:val="00152E69"/>
    <w:rsid w:val="001530B3"/>
    <w:rsid w:val="001552B6"/>
    <w:rsid w:val="001568EE"/>
    <w:rsid w:val="00156CF8"/>
    <w:rsid w:val="00157283"/>
    <w:rsid w:val="0016071B"/>
    <w:rsid w:val="00160B46"/>
    <w:rsid w:val="001620A5"/>
    <w:rsid w:val="0016226A"/>
    <w:rsid w:val="001639C7"/>
    <w:rsid w:val="00164391"/>
    <w:rsid w:val="00164AED"/>
    <w:rsid w:val="00164E53"/>
    <w:rsid w:val="0016699D"/>
    <w:rsid w:val="0016751C"/>
    <w:rsid w:val="00167FA1"/>
    <w:rsid w:val="001712FE"/>
    <w:rsid w:val="001725F4"/>
    <w:rsid w:val="001733E0"/>
    <w:rsid w:val="00175159"/>
    <w:rsid w:val="001757C7"/>
    <w:rsid w:val="00176208"/>
    <w:rsid w:val="001767E2"/>
    <w:rsid w:val="001771EC"/>
    <w:rsid w:val="001773BD"/>
    <w:rsid w:val="00177CFD"/>
    <w:rsid w:val="0018022C"/>
    <w:rsid w:val="001813EC"/>
    <w:rsid w:val="0018211B"/>
    <w:rsid w:val="00182AB4"/>
    <w:rsid w:val="00182AC7"/>
    <w:rsid w:val="0018344B"/>
    <w:rsid w:val="00183A95"/>
    <w:rsid w:val="001840D3"/>
    <w:rsid w:val="001840E9"/>
    <w:rsid w:val="00185E29"/>
    <w:rsid w:val="00186EC6"/>
    <w:rsid w:val="001900F8"/>
    <w:rsid w:val="00191258"/>
    <w:rsid w:val="00192680"/>
    <w:rsid w:val="00192A1A"/>
    <w:rsid w:val="00193037"/>
    <w:rsid w:val="0019380B"/>
    <w:rsid w:val="00193A2C"/>
    <w:rsid w:val="001944EB"/>
    <w:rsid w:val="001948B1"/>
    <w:rsid w:val="001976AC"/>
    <w:rsid w:val="00197B58"/>
    <w:rsid w:val="001A01A0"/>
    <w:rsid w:val="001A1549"/>
    <w:rsid w:val="001A17F6"/>
    <w:rsid w:val="001A21EE"/>
    <w:rsid w:val="001A288E"/>
    <w:rsid w:val="001A44BB"/>
    <w:rsid w:val="001A4C33"/>
    <w:rsid w:val="001A679F"/>
    <w:rsid w:val="001A710A"/>
    <w:rsid w:val="001B0A2C"/>
    <w:rsid w:val="001B1152"/>
    <w:rsid w:val="001B2E12"/>
    <w:rsid w:val="001B3064"/>
    <w:rsid w:val="001B3E38"/>
    <w:rsid w:val="001B41C9"/>
    <w:rsid w:val="001B54C8"/>
    <w:rsid w:val="001B6DC2"/>
    <w:rsid w:val="001B7D86"/>
    <w:rsid w:val="001C0058"/>
    <w:rsid w:val="001C149C"/>
    <w:rsid w:val="001C1B56"/>
    <w:rsid w:val="001C21AC"/>
    <w:rsid w:val="001C2360"/>
    <w:rsid w:val="001C25FF"/>
    <w:rsid w:val="001C3B4F"/>
    <w:rsid w:val="001C3CE1"/>
    <w:rsid w:val="001C452E"/>
    <w:rsid w:val="001C47BA"/>
    <w:rsid w:val="001C4810"/>
    <w:rsid w:val="001C5843"/>
    <w:rsid w:val="001C58D2"/>
    <w:rsid w:val="001C59EA"/>
    <w:rsid w:val="001C5F47"/>
    <w:rsid w:val="001C6833"/>
    <w:rsid w:val="001C6EBC"/>
    <w:rsid w:val="001C7176"/>
    <w:rsid w:val="001C7E6A"/>
    <w:rsid w:val="001D0A01"/>
    <w:rsid w:val="001D1A61"/>
    <w:rsid w:val="001D2609"/>
    <w:rsid w:val="001D285E"/>
    <w:rsid w:val="001D2905"/>
    <w:rsid w:val="001D3A1C"/>
    <w:rsid w:val="001D3BC8"/>
    <w:rsid w:val="001D406C"/>
    <w:rsid w:val="001D41EE"/>
    <w:rsid w:val="001D4C1E"/>
    <w:rsid w:val="001D6C75"/>
    <w:rsid w:val="001D781E"/>
    <w:rsid w:val="001E0380"/>
    <w:rsid w:val="001E0F04"/>
    <w:rsid w:val="001E13B1"/>
    <w:rsid w:val="001E1999"/>
    <w:rsid w:val="001E37B3"/>
    <w:rsid w:val="001E38C0"/>
    <w:rsid w:val="001E45CC"/>
    <w:rsid w:val="001E51B1"/>
    <w:rsid w:val="001E595F"/>
    <w:rsid w:val="001E7285"/>
    <w:rsid w:val="001E76D8"/>
    <w:rsid w:val="001F05C1"/>
    <w:rsid w:val="001F126F"/>
    <w:rsid w:val="001F2F0F"/>
    <w:rsid w:val="001F3A19"/>
    <w:rsid w:val="001F44BB"/>
    <w:rsid w:val="001F4D8E"/>
    <w:rsid w:val="001F5276"/>
    <w:rsid w:val="001F54B9"/>
    <w:rsid w:val="001F5CF7"/>
    <w:rsid w:val="001F6618"/>
    <w:rsid w:val="001F69E2"/>
    <w:rsid w:val="001F78E7"/>
    <w:rsid w:val="002005D0"/>
    <w:rsid w:val="002017E2"/>
    <w:rsid w:val="00202978"/>
    <w:rsid w:val="00202A71"/>
    <w:rsid w:val="002059A1"/>
    <w:rsid w:val="00207C7F"/>
    <w:rsid w:val="00210429"/>
    <w:rsid w:val="00210712"/>
    <w:rsid w:val="002107D2"/>
    <w:rsid w:val="00210E56"/>
    <w:rsid w:val="002110AC"/>
    <w:rsid w:val="002117C7"/>
    <w:rsid w:val="0021223B"/>
    <w:rsid w:val="00213876"/>
    <w:rsid w:val="00213D0C"/>
    <w:rsid w:val="00213E60"/>
    <w:rsid w:val="00216E4F"/>
    <w:rsid w:val="0021725E"/>
    <w:rsid w:val="0022035D"/>
    <w:rsid w:val="00220646"/>
    <w:rsid w:val="00220884"/>
    <w:rsid w:val="00221176"/>
    <w:rsid w:val="002247ED"/>
    <w:rsid w:val="00225F85"/>
    <w:rsid w:val="002268C7"/>
    <w:rsid w:val="00226E1A"/>
    <w:rsid w:val="00227B9E"/>
    <w:rsid w:val="00230A2D"/>
    <w:rsid w:val="002320BD"/>
    <w:rsid w:val="00233790"/>
    <w:rsid w:val="002339CF"/>
    <w:rsid w:val="002339FF"/>
    <w:rsid w:val="00234467"/>
    <w:rsid w:val="00235824"/>
    <w:rsid w:val="00237D8D"/>
    <w:rsid w:val="00240FE0"/>
    <w:rsid w:val="00241DA2"/>
    <w:rsid w:val="0024282D"/>
    <w:rsid w:val="00243183"/>
    <w:rsid w:val="002434E4"/>
    <w:rsid w:val="002470AF"/>
    <w:rsid w:val="00247432"/>
    <w:rsid w:val="00247FCE"/>
    <w:rsid w:val="00247FEE"/>
    <w:rsid w:val="00250C14"/>
    <w:rsid w:val="00250E7D"/>
    <w:rsid w:val="0025416E"/>
    <w:rsid w:val="002565D5"/>
    <w:rsid w:val="00256D92"/>
    <w:rsid w:val="00260E5E"/>
    <w:rsid w:val="002622C0"/>
    <w:rsid w:val="00262938"/>
    <w:rsid w:val="002638F0"/>
    <w:rsid w:val="00263CEF"/>
    <w:rsid w:val="00264512"/>
    <w:rsid w:val="002656BA"/>
    <w:rsid w:val="00270460"/>
    <w:rsid w:val="0027166A"/>
    <w:rsid w:val="00271B80"/>
    <w:rsid w:val="00271D91"/>
    <w:rsid w:val="00272E14"/>
    <w:rsid w:val="00273564"/>
    <w:rsid w:val="002746CD"/>
    <w:rsid w:val="00274A27"/>
    <w:rsid w:val="00276119"/>
    <w:rsid w:val="002762F2"/>
    <w:rsid w:val="002769EF"/>
    <w:rsid w:val="00277357"/>
    <w:rsid w:val="00277516"/>
    <w:rsid w:val="002776C5"/>
    <w:rsid w:val="002778AE"/>
    <w:rsid w:val="00277A7B"/>
    <w:rsid w:val="00280689"/>
    <w:rsid w:val="002806E7"/>
    <w:rsid w:val="002822CF"/>
    <w:rsid w:val="0028269A"/>
    <w:rsid w:val="00283590"/>
    <w:rsid w:val="002836C4"/>
    <w:rsid w:val="00284D4F"/>
    <w:rsid w:val="00286533"/>
    <w:rsid w:val="00286973"/>
    <w:rsid w:val="002872A2"/>
    <w:rsid w:val="00287C00"/>
    <w:rsid w:val="002901BC"/>
    <w:rsid w:val="00291CBA"/>
    <w:rsid w:val="00292E39"/>
    <w:rsid w:val="00294E70"/>
    <w:rsid w:val="00295B54"/>
    <w:rsid w:val="00296265"/>
    <w:rsid w:val="002A14DD"/>
    <w:rsid w:val="002A1924"/>
    <w:rsid w:val="002A19E9"/>
    <w:rsid w:val="002A2955"/>
    <w:rsid w:val="002A3B40"/>
    <w:rsid w:val="002A6F09"/>
    <w:rsid w:val="002A7420"/>
    <w:rsid w:val="002B0F12"/>
    <w:rsid w:val="002B1308"/>
    <w:rsid w:val="002B1597"/>
    <w:rsid w:val="002B1979"/>
    <w:rsid w:val="002B1992"/>
    <w:rsid w:val="002B3174"/>
    <w:rsid w:val="002B4128"/>
    <w:rsid w:val="002B4554"/>
    <w:rsid w:val="002B5145"/>
    <w:rsid w:val="002B6976"/>
    <w:rsid w:val="002C4F32"/>
    <w:rsid w:val="002C4FAC"/>
    <w:rsid w:val="002C5236"/>
    <w:rsid w:val="002C53E4"/>
    <w:rsid w:val="002C6077"/>
    <w:rsid w:val="002C6E1C"/>
    <w:rsid w:val="002C72D8"/>
    <w:rsid w:val="002C77BD"/>
    <w:rsid w:val="002C7A5B"/>
    <w:rsid w:val="002C7D40"/>
    <w:rsid w:val="002C7DA0"/>
    <w:rsid w:val="002D0B27"/>
    <w:rsid w:val="002D0C33"/>
    <w:rsid w:val="002D11FA"/>
    <w:rsid w:val="002D17CF"/>
    <w:rsid w:val="002D18AA"/>
    <w:rsid w:val="002D2C3B"/>
    <w:rsid w:val="002D58F7"/>
    <w:rsid w:val="002E0DDF"/>
    <w:rsid w:val="002E20F9"/>
    <w:rsid w:val="002E2906"/>
    <w:rsid w:val="002E29A3"/>
    <w:rsid w:val="002E345A"/>
    <w:rsid w:val="002E3616"/>
    <w:rsid w:val="002E3B24"/>
    <w:rsid w:val="002E3D49"/>
    <w:rsid w:val="002E480B"/>
    <w:rsid w:val="002E4A41"/>
    <w:rsid w:val="002E5327"/>
    <w:rsid w:val="002E5340"/>
    <w:rsid w:val="002E5635"/>
    <w:rsid w:val="002E6094"/>
    <w:rsid w:val="002E6327"/>
    <w:rsid w:val="002E64C3"/>
    <w:rsid w:val="002E652E"/>
    <w:rsid w:val="002E6A2C"/>
    <w:rsid w:val="002E6BFA"/>
    <w:rsid w:val="002F1D8C"/>
    <w:rsid w:val="002F21DA"/>
    <w:rsid w:val="002F2BF5"/>
    <w:rsid w:val="002F37D6"/>
    <w:rsid w:val="002F3C8B"/>
    <w:rsid w:val="002F4A6B"/>
    <w:rsid w:val="002F50D6"/>
    <w:rsid w:val="002F55EC"/>
    <w:rsid w:val="002F7310"/>
    <w:rsid w:val="003000DE"/>
    <w:rsid w:val="0030032C"/>
    <w:rsid w:val="0030088B"/>
    <w:rsid w:val="0030101E"/>
    <w:rsid w:val="00301F39"/>
    <w:rsid w:val="003038F4"/>
    <w:rsid w:val="0030408B"/>
    <w:rsid w:val="00304641"/>
    <w:rsid w:val="00304D05"/>
    <w:rsid w:val="00306E9A"/>
    <w:rsid w:val="003108ED"/>
    <w:rsid w:val="00310E18"/>
    <w:rsid w:val="003119E2"/>
    <w:rsid w:val="003131BF"/>
    <w:rsid w:val="0031383F"/>
    <w:rsid w:val="00313860"/>
    <w:rsid w:val="003148A8"/>
    <w:rsid w:val="0031623E"/>
    <w:rsid w:val="0032495B"/>
    <w:rsid w:val="00324F1B"/>
    <w:rsid w:val="00325926"/>
    <w:rsid w:val="00325C5D"/>
    <w:rsid w:val="00325D46"/>
    <w:rsid w:val="00325D97"/>
    <w:rsid w:val="00326D78"/>
    <w:rsid w:val="00326FCC"/>
    <w:rsid w:val="00327183"/>
    <w:rsid w:val="00327A8A"/>
    <w:rsid w:val="00327F36"/>
    <w:rsid w:val="00327F62"/>
    <w:rsid w:val="0033004A"/>
    <w:rsid w:val="0033080C"/>
    <w:rsid w:val="003326C8"/>
    <w:rsid w:val="00332A9D"/>
    <w:rsid w:val="00332B98"/>
    <w:rsid w:val="00334019"/>
    <w:rsid w:val="00334382"/>
    <w:rsid w:val="00334C31"/>
    <w:rsid w:val="00336610"/>
    <w:rsid w:val="00337CFC"/>
    <w:rsid w:val="00340A39"/>
    <w:rsid w:val="00342201"/>
    <w:rsid w:val="00343F73"/>
    <w:rsid w:val="00344F09"/>
    <w:rsid w:val="00345060"/>
    <w:rsid w:val="003452E2"/>
    <w:rsid w:val="003455ED"/>
    <w:rsid w:val="003465B5"/>
    <w:rsid w:val="00350AA3"/>
    <w:rsid w:val="0035323B"/>
    <w:rsid w:val="003609D2"/>
    <w:rsid w:val="00362BDE"/>
    <w:rsid w:val="00363D23"/>
    <w:rsid w:val="00363F22"/>
    <w:rsid w:val="00365A95"/>
    <w:rsid w:val="00366311"/>
    <w:rsid w:val="00370126"/>
    <w:rsid w:val="00370A95"/>
    <w:rsid w:val="00375564"/>
    <w:rsid w:val="00375C6D"/>
    <w:rsid w:val="00376AD6"/>
    <w:rsid w:val="00376BDA"/>
    <w:rsid w:val="00377AF6"/>
    <w:rsid w:val="003801B4"/>
    <w:rsid w:val="0038169D"/>
    <w:rsid w:val="003822BB"/>
    <w:rsid w:val="00382D6D"/>
    <w:rsid w:val="00383191"/>
    <w:rsid w:val="00384459"/>
    <w:rsid w:val="0038448E"/>
    <w:rsid w:val="0038578D"/>
    <w:rsid w:val="00386DED"/>
    <w:rsid w:val="00387A16"/>
    <w:rsid w:val="00390633"/>
    <w:rsid w:val="003912E7"/>
    <w:rsid w:val="00392BF9"/>
    <w:rsid w:val="00392D28"/>
    <w:rsid w:val="00392D77"/>
    <w:rsid w:val="0039307F"/>
    <w:rsid w:val="00393947"/>
    <w:rsid w:val="00393991"/>
    <w:rsid w:val="00393E0B"/>
    <w:rsid w:val="0039654C"/>
    <w:rsid w:val="00396955"/>
    <w:rsid w:val="003A1320"/>
    <w:rsid w:val="003A2275"/>
    <w:rsid w:val="003A24EF"/>
    <w:rsid w:val="003A28CF"/>
    <w:rsid w:val="003A5E1A"/>
    <w:rsid w:val="003A6924"/>
    <w:rsid w:val="003A6A4F"/>
    <w:rsid w:val="003A7088"/>
    <w:rsid w:val="003B00DF"/>
    <w:rsid w:val="003B02DE"/>
    <w:rsid w:val="003B1275"/>
    <w:rsid w:val="003B1778"/>
    <w:rsid w:val="003B2341"/>
    <w:rsid w:val="003B2945"/>
    <w:rsid w:val="003B3013"/>
    <w:rsid w:val="003B3856"/>
    <w:rsid w:val="003B4F3C"/>
    <w:rsid w:val="003B6091"/>
    <w:rsid w:val="003B6B00"/>
    <w:rsid w:val="003B75DD"/>
    <w:rsid w:val="003C00F6"/>
    <w:rsid w:val="003C0E09"/>
    <w:rsid w:val="003C1127"/>
    <w:rsid w:val="003C11CB"/>
    <w:rsid w:val="003C4CB4"/>
    <w:rsid w:val="003C5462"/>
    <w:rsid w:val="003C5E25"/>
    <w:rsid w:val="003C6655"/>
    <w:rsid w:val="003C6B9D"/>
    <w:rsid w:val="003C75F3"/>
    <w:rsid w:val="003C78A3"/>
    <w:rsid w:val="003D0724"/>
    <w:rsid w:val="003D1F10"/>
    <w:rsid w:val="003D26B1"/>
    <w:rsid w:val="003D33FB"/>
    <w:rsid w:val="003D468E"/>
    <w:rsid w:val="003D49DD"/>
    <w:rsid w:val="003D4D49"/>
    <w:rsid w:val="003D4FA9"/>
    <w:rsid w:val="003D4FDD"/>
    <w:rsid w:val="003D5865"/>
    <w:rsid w:val="003D603B"/>
    <w:rsid w:val="003D6BB2"/>
    <w:rsid w:val="003D6BE5"/>
    <w:rsid w:val="003E1760"/>
    <w:rsid w:val="003E17F5"/>
    <w:rsid w:val="003E1867"/>
    <w:rsid w:val="003E48F1"/>
    <w:rsid w:val="003E5729"/>
    <w:rsid w:val="003E7066"/>
    <w:rsid w:val="003F014E"/>
    <w:rsid w:val="003F0D88"/>
    <w:rsid w:val="003F19B8"/>
    <w:rsid w:val="003F2112"/>
    <w:rsid w:val="003F24B2"/>
    <w:rsid w:val="003F25F3"/>
    <w:rsid w:val="003F2DE5"/>
    <w:rsid w:val="003F2E1A"/>
    <w:rsid w:val="003F4173"/>
    <w:rsid w:val="003F4EE0"/>
    <w:rsid w:val="003F7875"/>
    <w:rsid w:val="004007FC"/>
    <w:rsid w:val="00402153"/>
    <w:rsid w:val="00402FC1"/>
    <w:rsid w:val="004031BA"/>
    <w:rsid w:val="00405128"/>
    <w:rsid w:val="004067F6"/>
    <w:rsid w:val="00410948"/>
    <w:rsid w:val="00411985"/>
    <w:rsid w:val="00413CDC"/>
    <w:rsid w:val="004140BF"/>
    <w:rsid w:val="004173BD"/>
    <w:rsid w:val="004221DA"/>
    <w:rsid w:val="00423A0C"/>
    <w:rsid w:val="00423C3C"/>
    <w:rsid w:val="0042476D"/>
    <w:rsid w:val="00424C3D"/>
    <w:rsid w:val="00425082"/>
    <w:rsid w:val="00425104"/>
    <w:rsid w:val="004257C8"/>
    <w:rsid w:val="00425E10"/>
    <w:rsid w:val="00426AAC"/>
    <w:rsid w:val="00426F44"/>
    <w:rsid w:val="004305FD"/>
    <w:rsid w:val="00431DEB"/>
    <w:rsid w:val="00432B84"/>
    <w:rsid w:val="0043338F"/>
    <w:rsid w:val="00435F92"/>
    <w:rsid w:val="0043799C"/>
    <w:rsid w:val="004413D3"/>
    <w:rsid w:val="00442080"/>
    <w:rsid w:val="004429C8"/>
    <w:rsid w:val="00442A4B"/>
    <w:rsid w:val="00442EBC"/>
    <w:rsid w:val="00443DD9"/>
    <w:rsid w:val="00443E50"/>
    <w:rsid w:val="004444FE"/>
    <w:rsid w:val="0044598D"/>
    <w:rsid w:val="00446B29"/>
    <w:rsid w:val="00447010"/>
    <w:rsid w:val="004504AE"/>
    <w:rsid w:val="00450BAE"/>
    <w:rsid w:val="00450CC8"/>
    <w:rsid w:val="00451D67"/>
    <w:rsid w:val="00452144"/>
    <w:rsid w:val="004528D6"/>
    <w:rsid w:val="00453F9A"/>
    <w:rsid w:val="00454361"/>
    <w:rsid w:val="00457666"/>
    <w:rsid w:val="00460D9A"/>
    <w:rsid w:val="00461CB2"/>
    <w:rsid w:val="00462EE9"/>
    <w:rsid w:val="00463E63"/>
    <w:rsid w:val="00464DE9"/>
    <w:rsid w:val="00465C28"/>
    <w:rsid w:val="004663F5"/>
    <w:rsid w:val="00467198"/>
    <w:rsid w:val="004675F8"/>
    <w:rsid w:val="00467D73"/>
    <w:rsid w:val="00470916"/>
    <w:rsid w:val="00471E91"/>
    <w:rsid w:val="00472112"/>
    <w:rsid w:val="00472777"/>
    <w:rsid w:val="00472BE0"/>
    <w:rsid w:val="00472F8F"/>
    <w:rsid w:val="00473A94"/>
    <w:rsid w:val="00474675"/>
    <w:rsid w:val="0047470C"/>
    <w:rsid w:val="00477D29"/>
    <w:rsid w:val="00477FA7"/>
    <w:rsid w:val="004801A7"/>
    <w:rsid w:val="0048169A"/>
    <w:rsid w:val="0048207E"/>
    <w:rsid w:val="0048399A"/>
    <w:rsid w:val="0048506B"/>
    <w:rsid w:val="00485B30"/>
    <w:rsid w:val="00485D99"/>
    <w:rsid w:val="004875BF"/>
    <w:rsid w:val="00487DF3"/>
    <w:rsid w:val="004909B5"/>
    <w:rsid w:val="004921C2"/>
    <w:rsid w:val="0049226D"/>
    <w:rsid w:val="004927DF"/>
    <w:rsid w:val="00492A47"/>
    <w:rsid w:val="00492AE1"/>
    <w:rsid w:val="00493605"/>
    <w:rsid w:val="00495D55"/>
    <w:rsid w:val="00496B81"/>
    <w:rsid w:val="00496C0F"/>
    <w:rsid w:val="004A0483"/>
    <w:rsid w:val="004A061C"/>
    <w:rsid w:val="004A1C76"/>
    <w:rsid w:val="004A35F9"/>
    <w:rsid w:val="004A380D"/>
    <w:rsid w:val="004A4488"/>
    <w:rsid w:val="004A4DF2"/>
    <w:rsid w:val="004A4FFD"/>
    <w:rsid w:val="004A54ED"/>
    <w:rsid w:val="004A5712"/>
    <w:rsid w:val="004A5D06"/>
    <w:rsid w:val="004B04A5"/>
    <w:rsid w:val="004B24C1"/>
    <w:rsid w:val="004B4DFE"/>
    <w:rsid w:val="004B5014"/>
    <w:rsid w:val="004B6588"/>
    <w:rsid w:val="004B6D54"/>
    <w:rsid w:val="004B7759"/>
    <w:rsid w:val="004C13C2"/>
    <w:rsid w:val="004C23A6"/>
    <w:rsid w:val="004C292F"/>
    <w:rsid w:val="004C2F0E"/>
    <w:rsid w:val="004C3200"/>
    <w:rsid w:val="004C5D6E"/>
    <w:rsid w:val="004C71FF"/>
    <w:rsid w:val="004D02AF"/>
    <w:rsid w:val="004D1F4A"/>
    <w:rsid w:val="004D26A2"/>
    <w:rsid w:val="004D301D"/>
    <w:rsid w:val="004D4605"/>
    <w:rsid w:val="004D4F46"/>
    <w:rsid w:val="004D5469"/>
    <w:rsid w:val="004D547E"/>
    <w:rsid w:val="004D5680"/>
    <w:rsid w:val="004D6DAD"/>
    <w:rsid w:val="004D6FF6"/>
    <w:rsid w:val="004D7B0C"/>
    <w:rsid w:val="004E01E3"/>
    <w:rsid w:val="004E01F8"/>
    <w:rsid w:val="004E136E"/>
    <w:rsid w:val="004E1454"/>
    <w:rsid w:val="004E1A48"/>
    <w:rsid w:val="004E2B08"/>
    <w:rsid w:val="004E2BF5"/>
    <w:rsid w:val="004E2EFA"/>
    <w:rsid w:val="004E3D8E"/>
    <w:rsid w:val="004E3DEA"/>
    <w:rsid w:val="004E4DDE"/>
    <w:rsid w:val="004E59AA"/>
    <w:rsid w:val="004E5E0A"/>
    <w:rsid w:val="004E6574"/>
    <w:rsid w:val="004E677F"/>
    <w:rsid w:val="004E77E5"/>
    <w:rsid w:val="004E7DD7"/>
    <w:rsid w:val="004F03A6"/>
    <w:rsid w:val="004F0B87"/>
    <w:rsid w:val="004F1FC5"/>
    <w:rsid w:val="004F2545"/>
    <w:rsid w:val="004F37B7"/>
    <w:rsid w:val="004F48AE"/>
    <w:rsid w:val="004F67E5"/>
    <w:rsid w:val="004F690E"/>
    <w:rsid w:val="00500D44"/>
    <w:rsid w:val="005016FD"/>
    <w:rsid w:val="00501B53"/>
    <w:rsid w:val="00502225"/>
    <w:rsid w:val="00502678"/>
    <w:rsid w:val="00502C00"/>
    <w:rsid w:val="00502E19"/>
    <w:rsid w:val="00503A32"/>
    <w:rsid w:val="00505836"/>
    <w:rsid w:val="00505993"/>
    <w:rsid w:val="00506B00"/>
    <w:rsid w:val="00506EDF"/>
    <w:rsid w:val="00510280"/>
    <w:rsid w:val="005102DB"/>
    <w:rsid w:val="0051195A"/>
    <w:rsid w:val="005123E9"/>
    <w:rsid w:val="00512B8B"/>
    <w:rsid w:val="005135A5"/>
    <w:rsid w:val="0051388E"/>
    <w:rsid w:val="0051397A"/>
    <w:rsid w:val="00513D73"/>
    <w:rsid w:val="0051407F"/>
    <w:rsid w:val="00514A43"/>
    <w:rsid w:val="00514C73"/>
    <w:rsid w:val="00515911"/>
    <w:rsid w:val="005174E5"/>
    <w:rsid w:val="00517CE1"/>
    <w:rsid w:val="00517E36"/>
    <w:rsid w:val="00522393"/>
    <w:rsid w:val="00522620"/>
    <w:rsid w:val="0052297F"/>
    <w:rsid w:val="00523056"/>
    <w:rsid w:val="00524A06"/>
    <w:rsid w:val="00524CA3"/>
    <w:rsid w:val="00525656"/>
    <w:rsid w:val="00525CF9"/>
    <w:rsid w:val="005268A8"/>
    <w:rsid w:val="00530C27"/>
    <w:rsid w:val="00530E87"/>
    <w:rsid w:val="00533217"/>
    <w:rsid w:val="00533E41"/>
    <w:rsid w:val="00534C02"/>
    <w:rsid w:val="00534FD1"/>
    <w:rsid w:val="005355DE"/>
    <w:rsid w:val="00535814"/>
    <w:rsid w:val="00535C18"/>
    <w:rsid w:val="005361FD"/>
    <w:rsid w:val="005405FA"/>
    <w:rsid w:val="00540871"/>
    <w:rsid w:val="0054227C"/>
    <w:rsid w:val="00542587"/>
    <w:rsid w:val="0054264B"/>
    <w:rsid w:val="00543786"/>
    <w:rsid w:val="00543EE5"/>
    <w:rsid w:val="00544AAF"/>
    <w:rsid w:val="00544D7A"/>
    <w:rsid w:val="00545092"/>
    <w:rsid w:val="0054546A"/>
    <w:rsid w:val="00550BD8"/>
    <w:rsid w:val="00552C30"/>
    <w:rsid w:val="005533D7"/>
    <w:rsid w:val="00553C0D"/>
    <w:rsid w:val="005543B6"/>
    <w:rsid w:val="005545C7"/>
    <w:rsid w:val="00560144"/>
    <w:rsid w:val="005606AB"/>
    <w:rsid w:val="005615C1"/>
    <w:rsid w:val="00562709"/>
    <w:rsid w:val="00563AB8"/>
    <w:rsid w:val="00563AFA"/>
    <w:rsid w:val="00564AD3"/>
    <w:rsid w:val="00566350"/>
    <w:rsid w:val="00566B0C"/>
    <w:rsid w:val="005703DE"/>
    <w:rsid w:val="00572018"/>
    <w:rsid w:val="00572282"/>
    <w:rsid w:val="005744D8"/>
    <w:rsid w:val="00576C1A"/>
    <w:rsid w:val="00576D3D"/>
    <w:rsid w:val="00581490"/>
    <w:rsid w:val="00581C8E"/>
    <w:rsid w:val="0058271C"/>
    <w:rsid w:val="00583275"/>
    <w:rsid w:val="0058464E"/>
    <w:rsid w:val="005849D8"/>
    <w:rsid w:val="00585A65"/>
    <w:rsid w:val="005863D6"/>
    <w:rsid w:val="00586A72"/>
    <w:rsid w:val="005872CE"/>
    <w:rsid w:val="00591D1B"/>
    <w:rsid w:val="00596518"/>
    <w:rsid w:val="005975BA"/>
    <w:rsid w:val="00597623"/>
    <w:rsid w:val="005A00A2"/>
    <w:rsid w:val="005A01CB"/>
    <w:rsid w:val="005A0AF7"/>
    <w:rsid w:val="005A2DC7"/>
    <w:rsid w:val="005A3F16"/>
    <w:rsid w:val="005A48F0"/>
    <w:rsid w:val="005A58FF"/>
    <w:rsid w:val="005A5EAF"/>
    <w:rsid w:val="005A5F22"/>
    <w:rsid w:val="005A5F6B"/>
    <w:rsid w:val="005A60C2"/>
    <w:rsid w:val="005A64C0"/>
    <w:rsid w:val="005B3C11"/>
    <w:rsid w:val="005B3FD9"/>
    <w:rsid w:val="005B45C7"/>
    <w:rsid w:val="005B7A1D"/>
    <w:rsid w:val="005B7E42"/>
    <w:rsid w:val="005C1C28"/>
    <w:rsid w:val="005C1E81"/>
    <w:rsid w:val="005C2C3E"/>
    <w:rsid w:val="005C5079"/>
    <w:rsid w:val="005C52B4"/>
    <w:rsid w:val="005C6155"/>
    <w:rsid w:val="005C6DB5"/>
    <w:rsid w:val="005C78A9"/>
    <w:rsid w:val="005D072B"/>
    <w:rsid w:val="005D0F87"/>
    <w:rsid w:val="005D1FF6"/>
    <w:rsid w:val="005D29EE"/>
    <w:rsid w:val="005D3192"/>
    <w:rsid w:val="005D352C"/>
    <w:rsid w:val="005D4906"/>
    <w:rsid w:val="005D5594"/>
    <w:rsid w:val="005D5BD1"/>
    <w:rsid w:val="005D67F1"/>
    <w:rsid w:val="005D7027"/>
    <w:rsid w:val="005D71D0"/>
    <w:rsid w:val="005E0A0B"/>
    <w:rsid w:val="005E19E7"/>
    <w:rsid w:val="005E21F7"/>
    <w:rsid w:val="005E2448"/>
    <w:rsid w:val="005E2B46"/>
    <w:rsid w:val="005E5601"/>
    <w:rsid w:val="005E60F7"/>
    <w:rsid w:val="005F169C"/>
    <w:rsid w:val="005F2572"/>
    <w:rsid w:val="005F2AAB"/>
    <w:rsid w:val="005F3497"/>
    <w:rsid w:val="005F3562"/>
    <w:rsid w:val="005F4415"/>
    <w:rsid w:val="005F5EA6"/>
    <w:rsid w:val="005F7499"/>
    <w:rsid w:val="005F79EA"/>
    <w:rsid w:val="006013A7"/>
    <w:rsid w:val="006021B9"/>
    <w:rsid w:val="006022FF"/>
    <w:rsid w:val="00602DC0"/>
    <w:rsid w:val="006057C5"/>
    <w:rsid w:val="006076E1"/>
    <w:rsid w:val="0061038C"/>
    <w:rsid w:val="00610FF8"/>
    <w:rsid w:val="00614266"/>
    <w:rsid w:val="00615DC4"/>
    <w:rsid w:val="006169CA"/>
    <w:rsid w:val="0061716C"/>
    <w:rsid w:val="006179D8"/>
    <w:rsid w:val="00620090"/>
    <w:rsid w:val="00620133"/>
    <w:rsid w:val="006201CE"/>
    <w:rsid w:val="0062069A"/>
    <w:rsid w:val="006211E8"/>
    <w:rsid w:val="006236D6"/>
    <w:rsid w:val="00623979"/>
    <w:rsid w:val="00623FE6"/>
    <w:rsid w:val="006243A1"/>
    <w:rsid w:val="00626D3E"/>
    <w:rsid w:val="00627D37"/>
    <w:rsid w:val="00630A86"/>
    <w:rsid w:val="006312D2"/>
    <w:rsid w:val="00631D2F"/>
    <w:rsid w:val="00632E56"/>
    <w:rsid w:val="00634962"/>
    <w:rsid w:val="0063593B"/>
    <w:rsid w:val="00635CBA"/>
    <w:rsid w:val="00637135"/>
    <w:rsid w:val="00637151"/>
    <w:rsid w:val="0064338B"/>
    <w:rsid w:val="006433FA"/>
    <w:rsid w:val="00643921"/>
    <w:rsid w:val="0064585E"/>
    <w:rsid w:val="00646333"/>
    <w:rsid w:val="00646542"/>
    <w:rsid w:val="00647871"/>
    <w:rsid w:val="00647EF0"/>
    <w:rsid w:val="006504F4"/>
    <w:rsid w:val="00652474"/>
    <w:rsid w:val="006533A7"/>
    <w:rsid w:val="00654590"/>
    <w:rsid w:val="006546BB"/>
    <w:rsid w:val="00654983"/>
    <w:rsid w:val="00654BC9"/>
    <w:rsid w:val="006552FD"/>
    <w:rsid w:val="00655FD5"/>
    <w:rsid w:val="00655FD8"/>
    <w:rsid w:val="00656FCC"/>
    <w:rsid w:val="00660316"/>
    <w:rsid w:val="00660CB1"/>
    <w:rsid w:val="00663AF3"/>
    <w:rsid w:val="00663C96"/>
    <w:rsid w:val="00665B8A"/>
    <w:rsid w:val="00666B6C"/>
    <w:rsid w:val="00667FDD"/>
    <w:rsid w:val="006736F2"/>
    <w:rsid w:val="00676C2A"/>
    <w:rsid w:val="0067713A"/>
    <w:rsid w:val="006774F2"/>
    <w:rsid w:val="006776A9"/>
    <w:rsid w:val="00681381"/>
    <w:rsid w:val="00681988"/>
    <w:rsid w:val="006821B9"/>
    <w:rsid w:val="00682682"/>
    <w:rsid w:val="00682702"/>
    <w:rsid w:val="00682C06"/>
    <w:rsid w:val="00683A13"/>
    <w:rsid w:val="006848D9"/>
    <w:rsid w:val="00685694"/>
    <w:rsid w:val="00685B02"/>
    <w:rsid w:val="006866C1"/>
    <w:rsid w:val="00686AD2"/>
    <w:rsid w:val="0068706D"/>
    <w:rsid w:val="0068770F"/>
    <w:rsid w:val="0069039F"/>
    <w:rsid w:val="00692368"/>
    <w:rsid w:val="006928BE"/>
    <w:rsid w:val="00693B0E"/>
    <w:rsid w:val="00694A08"/>
    <w:rsid w:val="00694A71"/>
    <w:rsid w:val="006A2EBC"/>
    <w:rsid w:val="006A3478"/>
    <w:rsid w:val="006A4206"/>
    <w:rsid w:val="006A553F"/>
    <w:rsid w:val="006A5928"/>
    <w:rsid w:val="006A5A05"/>
    <w:rsid w:val="006A5EA0"/>
    <w:rsid w:val="006A60FB"/>
    <w:rsid w:val="006A63FD"/>
    <w:rsid w:val="006A7073"/>
    <w:rsid w:val="006A721C"/>
    <w:rsid w:val="006A783B"/>
    <w:rsid w:val="006A7B33"/>
    <w:rsid w:val="006B019A"/>
    <w:rsid w:val="006B0799"/>
    <w:rsid w:val="006B29A4"/>
    <w:rsid w:val="006B2B7D"/>
    <w:rsid w:val="006B3FB1"/>
    <w:rsid w:val="006B42B0"/>
    <w:rsid w:val="006B4450"/>
    <w:rsid w:val="006B4E13"/>
    <w:rsid w:val="006B56E0"/>
    <w:rsid w:val="006B679F"/>
    <w:rsid w:val="006B7223"/>
    <w:rsid w:val="006B75DD"/>
    <w:rsid w:val="006C067D"/>
    <w:rsid w:val="006C0BFC"/>
    <w:rsid w:val="006C154A"/>
    <w:rsid w:val="006C2304"/>
    <w:rsid w:val="006C3BCE"/>
    <w:rsid w:val="006C67E0"/>
    <w:rsid w:val="006C6971"/>
    <w:rsid w:val="006C7ABA"/>
    <w:rsid w:val="006D00E8"/>
    <w:rsid w:val="006D0406"/>
    <w:rsid w:val="006D056C"/>
    <w:rsid w:val="006D0D60"/>
    <w:rsid w:val="006D1122"/>
    <w:rsid w:val="006D187B"/>
    <w:rsid w:val="006D3C00"/>
    <w:rsid w:val="006D4B4A"/>
    <w:rsid w:val="006D563C"/>
    <w:rsid w:val="006D5B6E"/>
    <w:rsid w:val="006D6D74"/>
    <w:rsid w:val="006D6FB2"/>
    <w:rsid w:val="006E01EF"/>
    <w:rsid w:val="006E1417"/>
    <w:rsid w:val="006E1787"/>
    <w:rsid w:val="006E1803"/>
    <w:rsid w:val="006E2338"/>
    <w:rsid w:val="006E3675"/>
    <w:rsid w:val="006E3900"/>
    <w:rsid w:val="006E49B3"/>
    <w:rsid w:val="006E4A7F"/>
    <w:rsid w:val="006E4DCC"/>
    <w:rsid w:val="006E6001"/>
    <w:rsid w:val="006E6C0C"/>
    <w:rsid w:val="006E7043"/>
    <w:rsid w:val="006F1EA1"/>
    <w:rsid w:val="006F2740"/>
    <w:rsid w:val="006F3139"/>
    <w:rsid w:val="006F365C"/>
    <w:rsid w:val="00704D35"/>
    <w:rsid w:val="00704DF6"/>
    <w:rsid w:val="00704ED0"/>
    <w:rsid w:val="00705360"/>
    <w:rsid w:val="0070651C"/>
    <w:rsid w:val="00706A3D"/>
    <w:rsid w:val="00707966"/>
    <w:rsid w:val="007107C8"/>
    <w:rsid w:val="00710845"/>
    <w:rsid w:val="00710899"/>
    <w:rsid w:val="00710AD8"/>
    <w:rsid w:val="007116BC"/>
    <w:rsid w:val="007132A3"/>
    <w:rsid w:val="007141DF"/>
    <w:rsid w:val="007143E1"/>
    <w:rsid w:val="00715C35"/>
    <w:rsid w:val="00715CCB"/>
    <w:rsid w:val="00716421"/>
    <w:rsid w:val="00717024"/>
    <w:rsid w:val="007223A2"/>
    <w:rsid w:val="00722931"/>
    <w:rsid w:val="00724C2E"/>
    <w:rsid w:val="00724EFB"/>
    <w:rsid w:val="007256BB"/>
    <w:rsid w:val="00725884"/>
    <w:rsid w:val="00725A39"/>
    <w:rsid w:val="00726B22"/>
    <w:rsid w:val="007278DB"/>
    <w:rsid w:val="00727A07"/>
    <w:rsid w:val="007309A8"/>
    <w:rsid w:val="007326A9"/>
    <w:rsid w:val="00732E42"/>
    <w:rsid w:val="007346A6"/>
    <w:rsid w:val="0073514D"/>
    <w:rsid w:val="007369EF"/>
    <w:rsid w:val="00737F17"/>
    <w:rsid w:val="007419C3"/>
    <w:rsid w:val="00741BB5"/>
    <w:rsid w:val="007421AD"/>
    <w:rsid w:val="0074462E"/>
    <w:rsid w:val="0074519B"/>
    <w:rsid w:val="00745B3D"/>
    <w:rsid w:val="00745EEC"/>
    <w:rsid w:val="007467A7"/>
    <w:rsid w:val="007469DD"/>
    <w:rsid w:val="00746BA9"/>
    <w:rsid w:val="00746CE5"/>
    <w:rsid w:val="0074741B"/>
    <w:rsid w:val="0074759E"/>
    <w:rsid w:val="007475B2"/>
    <w:rsid w:val="007478EA"/>
    <w:rsid w:val="00750A64"/>
    <w:rsid w:val="007511BB"/>
    <w:rsid w:val="007515F8"/>
    <w:rsid w:val="00751B0C"/>
    <w:rsid w:val="00751E05"/>
    <w:rsid w:val="00752366"/>
    <w:rsid w:val="0075415C"/>
    <w:rsid w:val="00757A51"/>
    <w:rsid w:val="00757FBE"/>
    <w:rsid w:val="007625F7"/>
    <w:rsid w:val="0076278F"/>
    <w:rsid w:val="00762C44"/>
    <w:rsid w:val="0076324B"/>
    <w:rsid w:val="00763502"/>
    <w:rsid w:val="00763937"/>
    <w:rsid w:val="00764541"/>
    <w:rsid w:val="00764DA5"/>
    <w:rsid w:val="00770D32"/>
    <w:rsid w:val="00771A8F"/>
    <w:rsid w:val="00771A95"/>
    <w:rsid w:val="00772CA5"/>
    <w:rsid w:val="00773B21"/>
    <w:rsid w:val="007763E9"/>
    <w:rsid w:val="00776708"/>
    <w:rsid w:val="00777206"/>
    <w:rsid w:val="00777AE7"/>
    <w:rsid w:val="00780449"/>
    <w:rsid w:val="00780627"/>
    <w:rsid w:val="00781712"/>
    <w:rsid w:val="00781ED0"/>
    <w:rsid w:val="00783275"/>
    <w:rsid w:val="00784E44"/>
    <w:rsid w:val="00785479"/>
    <w:rsid w:val="00786A03"/>
    <w:rsid w:val="007913AB"/>
    <w:rsid w:val="007913D2"/>
    <w:rsid w:val="007914F7"/>
    <w:rsid w:val="007916A8"/>
    <w:rsid w:val="0079280E"/>
    <w:rsid w:val="0079387D"/>
    <w:rsid w:val="00793898"/>
    <w:rsid w:val="00794660"/>
    <w:rsid w:val="007973AC"/>
    <w:rsid w:val="007A0A75"/>
    <w:rsid w:val="007A1357"/>
    <w:rsid w:val="007A14B0"/>
    <w:rsid w:val="007A2807"/>
    <w:rsid w:val="007A2D64"/>
    <w:rsid w:val="007A2F5A"/>
    <w:rsid w:val="007A4BF8"/>
    <w:rsid w:val="007B1263"/>
    <w:rsid w:val="007B1625"/>
    <w:rsid w:val="007B32F3"/>
    <w:rsid w:val="007B374D"/>
    <w:rsid w:val="007B4962"/>
    <w:rsid w:val="007B611C"/>
    <w:rsid w:val="007B6335"/>
    <w:rsid w:val="007B64B5"/>
    <w:rsid w:val="007B706E"/>
    <w:rsid w:val="007B71EB"/>
    <w:rsid w:val="007B781D"/>
    <w:rsid w:val="007C09B6"/>
    <w:rsid w:val="007C1774"/>
    <w:rsid w:val="007C3940"/>
    <w:rsid w:val="007C3F24"/>
    <w:rsid w:val="007C50DC"/>
    <w:rsid w:val="007C6205"/>
    <w:rsid w:val="007C686A"/>
    <w:rsid w:val="007C68CD"/>
    <w:rsid w:val="007C728E"/>
    <w:rsid w:val="007C7895"/>
    <w:rsid w:val="007D05F0"/>
    <w:rsid w:val="007D08DD"/>
    <w:rsid w:val="007D2C53"/>
    <w:rsid w:val="007D37CB"/>
    <w:rsid w:val="007D3D60"/>
    <w:rsid w:val="007D43A6"/>
    <w:rsid w:val="007D5142"/>
    <w:rsid w:val="007D594A"/>
    <w:rsid w:val="007D6C6B"/>
    <w:rsid w:val="007D73D0"/>
    <w:rsid w:val="007E03E9"/>
    <w:rsid w:val="007E0BB5"/>
    <w:rsid w:val="007E164D"/>
    <w:rsid w:val="007E1980"/>
    <w:rsid w:val="007E2D20"/>
    <w:rsid w:val="007E4B76"/>
    <w:rsid w:val="007E577B"/>
    <w:rsid w:val="007E5EA8"/>
    <w:rsid w:val="007E62F4"/>
    <w:rsid w:val="007E6BFB"/>
    <w:rsid w:val="007F0CF1"/>
    <w:rsid w:val="007F12A5"/>
    <w:rsid w:val="007F1ACF"/>
    <w:rsid w:val="007F30D2"/>
    <w:rsid w:val="007F479F"/>
    <w:rsid w:val="007F4CF1"/>
    <w:rsid w:val="007F51EC"/>
    <w:rsid w:val="007F5A89"/>
    <w:rsid w:val="007F5DFB"/>
    <w:rsid w:val="007F758D"/>
    <w:rsid w:val="007F7961"/>
    <w:rsid w:val="007F7D52"/>
    <w:rsid w:val="0080199C"/>
    <w:rsid w:val="00803C9C"/>
    <w:rsid w:val="00804806"/>
    <w:rsid w:val="00805ECD"/>
    <w:rsid w:val="0080654C"/>
    <w:rsid w:val="008071C6"/>
    <w:rsid w:val="008075D0"/>
    <w:rsid w:val="00807B05"/>
    <w:rsid w:val="00810DDD"/>
    <w:rsid w:val="00811BB4"/>
    <w:rsid w:val="008126E0"/>
    <w:rsid w:val="00812E06"/>
    <w:rsid w:val="008133A3"/>
    <w:rsid w:val="008159F5"/>
    <w:rsid w:val="00816163"/>
    <w:rsid w:val="00816CEF"/>
    <w:rsid w:val="008175A2"/>
    <w:rsid w:val="008179B8"/>
    <w:rsid w:val="00817A00"/>
    <w:rsid w:val="008205D3"/>
    <w:rsid w:val="00822AD8"/>
    <w:rsid w:val="0082348D"/>
    <w:rsid w:val="008259FA"/>
    <w:rsid w:val="00826B6E"/>
    <w:rsid w:val="00826B94"/>
    <w:rsid w:val="00831C6B"/>
    <w:rsid w:val="008323C2"/>
    <w:rsid w:val="00832D5F"/>
    <w:rsid w:val="0083581C"/>
    <w:rsid w:val="00835DB3"/>
    <w:rsid w:val="0083617B"/>
    <w:rsid w:val="008371BD"/>
    <w:rsid w:val="00837B4E"/>
    <w:rsid w:val="0084179C"/>
    <w:rsid w:val="008436A0"/>
    <w:rsid w:val="0084389C"/>
    <w:rsid w:val="00844599"/>
    <w:rsid w:val="00844CD3"/>
    <w:rsid w:val="0084578D"/>
    <w:rsid w:val="00846923"/>
    <w:rsid w:val="00846D60"/>
    <w:rsid w:val="008504A8"/>
    <w:rsid w:val="00850FE0"/>
    <w:rsid w:val="0085282E"/>
    <w:rsid w:val="0085481D"/>
    <w:rsid w:val="0085502F"/>
    <w:rsid w:val="0085506B"/>
    <w:rsid w:val="008561DF"/>
    <w:rsid w:val="00857D4F"/>
    <w:rsid w:val="0086041D"/>
    <w:rsid w:val="0086154F"/>
    <w:rsid w:val="00862A1A"/>
    <w:rsid w:val="00863346"/>
    <w:rsid w:val="008669AD"/>
    <w:rsid w:val="00870088"/>
    <w:rsid w:val="00870FFF"/>
    <w:rsid w:val="0087198C"/>
    <w:rsid w:val="0087252A"/>
    <w:rsid w:val="00872C1F"/>
    <w:rsid w:val="00872C4E"/>
    <w:rsid w:val="00873202"/>
    <w:rsid w:val="00873505"/>
    <w:rsid w:val="00873B42"/>
    <w:rsid w:val="00873DEA"/>
    <w:rsid w:val="008745EF"/>
    <w:rsid w:val="00875675"/>
    <w:rsid w:val="00876934"/>
    <w:rsid w:val="00876CFB"/>
    <w:rsid w:val="00876D66"/>
    <w:rsid w:val="00880E2C"/>
    <w:rsid w:val="008812C5"/>
    <w:rsid w:val="008830C4"/>
    <w:rsid w:val="00884195"/>
    <w:rsid w:val="00884B8F"/>
    <w:rsid w:val="008856D8"/>
    <w:rsid w:val="008859C9"/>
    <w:rsid w:val="008874E8"/>
    <w:rsid w:val="00892E82"/>
    <w:rsid w:val="0089417B"/>
    <w:rsid w:val="008945B6"/>
    <w:rsid w:val="00894CE1"/>
    <w:rsid w:val="008A0D0A"/>
    <w:rsid w:val="008A16FF"/>
    <w:rsid w:val="008A40E1"/>
    <w:rsid w:val="008A441C"/>
    <w:rsid w:val="008A65A4"/>
    <w:rsid w:val="008A7D23"/>
    <w:rsid w:val="008B166D"/>
    <w:rsid w:val="008B4668"/>
    <w:rsid w:val="008B47F2"/>
    <w:rsid w:val="008B503F"/>
    <w:rsid w:val="008B6608"/>
    <w:rsid w:val="008B7E30"/>
    <w:rsid w:val="008C01DD"/>
    <w:rsid w:val="008C1B58"/>
    <w:rsid w:val="008C22AE"/>
    <w:rsid w:val="008C39AE"/>
    <w:rsid w:val="008C3BF0"/>
    <w:rsid w:val="008C4E65"/>
    <w:rsid w:val="008C590D"/>
    <w:rsid w:val="008C6B3F"/>
    <w:rsid w:val="008C71B8"/>
    <w:rsid w:val="008D26B1"/>
    <w:rsid w:val="008D2DF9"/>
    <w:rsid w:val="008D330D"/>
    <w:rsid w:val="008D3E52"/>
    <w:rsid w:val="008D5971"/>
    <w:rsid w:val="008D759E"/>
    <w:rsid w:val="008E031B"/>
    <w:rsid w:val="008E09F6"/>
    <w:rsid w:val="008E3459"/>
    <w:rsid w:val="008E450A"/>
    <w:rsid w:val="008E5A7B"/>
    <w:rsid w:val="008E65E2"/>
    <w:rsid w:val="008E7029"/>
    <w:rsid w:val="008E70DD"/>
    <w:rsid w:val="008E7EF6"/>
    <w:rsid w:val="008F003E"/>
    <w:rsid w:val="008F0D94"/>
    <w:rsid w:val="008F1673"/>
    <w:rsid w:val="008F1F98"/>
    <w:rsid w:val="008F2251"/>
    <w:rsid w:val="008F2760"/>
    <w:rsid w:val="008F3FDD"/>
    <w:rsid w:val="008F4830"/>
    <w:rsid w:val="008F521A"/>
    <w:rsid w:val="008F56C8"/>
    <w:rsid w:val="008F6602"/>
    <w:rsid w:val="008F6758"/>
    <w:rsid w:val="008F72C4"/>
    <w:rsid w:val="008F7F78"/>
    <w:rsid w:val="00900141"/>
    <w:rsid w:val="00900148"/>
    <w:rsid w:val="0090051E"/>
    <w:rsid w:val="00901671"/>
    <w:rsid w:val="00902429"/>
    <w:rsid w:val="00902A32"/>
    <w:rsid w:val="009040DD"/>
    <w:rsid w:val="009059EB"/>
    <w:rsid w:val="00905B47"/>
    <w:rsid w:val="0090666D"/>
    <w:rsid w:val="00907C59"/>
    <w:rsid w:val="009100FA"/>
    <w:rsid w:val="00910187"/>
    <w:rsid w:val="00912D8B"/>
    <w:rsid w:val="0091331C"/>
    <w:rsid w:val="009133CF"/>
    <w:rsid w:val="009143D3"/>
    <w:rsid w:val="009150F2"/>
    <w:rsid w:val="00915185"/>
    <w:rsid w:val="00916EF5"/>
    <w:rsid w:val="009173E5"/>
    <w:rsid w:val="00920222"/>
    <w:rsid w:val="00920DC6"/>
    <w:rsid w:val="0092268B"/>
    <w:rsid w:val="009231CF"/>
    <w:rsid w:val="0092366A"/>
    <w:rsid w:val="00924303"/>
    <w:rsid w:val="009253EE"/>
    <w:rsid w:val="00925FD9"/>
    <w:rsid w:val="00926437"/>
    <w:rsid w:val="009279DE"/>
    <w:rsid w:val="00927C9A"/>
    <w:rsid w:val="00927F80"/>
    <w:rsid w:val="00930116"/>
    <w:rsid w:val="00930D7B"/>
    <w:rsid w:val="00931E9C"/>
    <w:rsid w:val="00931F98"/>
    <w:rsid w:val="0093236A"/>
    <w:rsid w:val="0093334E"/>
    <w:rsid w:val="009334F6"/>
    <w:rsid w:val="00934C85"/>
    <w:rsid w:val="009351A3"/>
    <w:rsid w:val="009375A4"/>
    <w:rsid w:val="00937BB0"/>
    <w:rsid w:val="00941F10"/>
    <w:rsid w:val="0094212C"/>
    <w:rsid w:val="0094509E"/>
    <w:rsid w:val="009455A3"/>
    <w:rsid w:val="00945959"/>
    <w:rsid w:val="00946659"/>
    <w:rsid w:val="00947367"/>
    <w:rsid w:val="00950420"/>
    <w:rsid w:val="009520E9"/>
    <w:rsid w:val="00952883"/>
    <w:rsid w:val="00952914"/>
    <w:rsid w:val="00952A7A"/>
    <w:rsid w:val="0095350D"/>
    <w:rsid w:val="00953603"/>
    <w:rsid w:val="009542E7"/>
    <w:rsid w:val="00954480"/>
    <w:rsid w:val="0095454C"/>
    <w:rsid w:val="00954689"/>
    <w:rsid w:val="00954F8A"/>
    <w:rsid w:val="00957071"/>
    <w:rsid w:val="00957765"/>
    <w:rsid w:val="009617C9"/>
    <w:rsid w:val="00961C93"/>
    <w:rsid w:val="0096266A"/>
    <w:rsid w:val="009626D2"/>
    <w:rsid w:val="00962FBA"/>
    <w:rsid w:val="009641BA"/>
    <w:rsid w:val="00964BCD"/>
    <w:rsid w:val="00964FB6"/>
    <w:rsid w:val="00965324"/>
    <w:rsid w:val="00965C1A"/>
    <w:rsid w:val="00970728"/>
    <w:rsid w:val="0097091E"/>
    <w:rsid w:val="00971FDB"/>
    <w:rsid w:val="00973477"/>
    <w:rsid w:val="0097436D"/>
    <w:rsid w:val="0097525D"/>
    <w:rsid w:val="009760D3"/>
    <w:rsid w:val="00977132"/>
    <w:rsid w:val="009818BB"/>
    <w:rsid w:val="00981A4B"/>
    <w:rsid w:val="00981B54"/>
    <w:rsid w:val="00981B6E"/>
    <w:rsid w:val="00982435"/>
    <w:rsid w:val="00982501"/>
    <w:rsid w:val="00982F3F"/>
    <w:rsid w:val="00983CB8"/>
    <w:rsid w:val="0098446B"/>
    <w:rsid w:val="00984488"/>
    <w:rsid w:val="00985872"/>
    <w:rsid w:val="00986BD0"/>
    <w:rsid w:val="00986D18"/>
    <w:rsid w:val="00986EC5"/>
    <w:rsid w:val="009877D3"/>
    <w:rsid w:val="009900B4"/>
    <w:rsid w:val="00990EEF"/>
    <w:rsid w:val="00991292"/>
    <w:rsid w:val="0099242A"/>
    <w:rsid w:val="00992C8B"/>
    <w:rsid w:val="00994851"/>
    <w:rsid w:val="00994E8F"/>
    <w:rsid w:val="009951DC"/>
    <w:rsid w:val="009959BB"/>
    <w:rsid w:val="00995BA6"/>
    <w:rsid w:val="00997158"/>
    <w:rsid w:val="009A2675"/>
    <w:rsid w:val="009A368E"/>
    <w:rsid w:val="009A3A7C"/>
    <w:rsid w:val="009A479F"/>
    <w:rsid w:val="009A4968"/>
    <w:rsid w:val="009A510B"/>
    <w:rsid w:val="009A6553"/>
    <w:rsid w:val="009A7D17"/>
    <w:rsid w:val="009B1730"/>
    <w:rsid w:val="009B1894"/>
    <w:rsid w:val="009B27A0"/>
    <w:rsid w:val="009B2ADB"/>
    <w:rsid w:val="009B38A7"/>
    <w:rsid w:val="009B5DA0"/>
    <w:rsid w:val="009B603A"/>
    <w:rsid w:val="009C2D0E"/>
    <w:rsid w:val="009C30C8"/>
    <w:rsid w:val="009C3253"/>
    <w:rsid w:val="009C32DC"/>
    <w:rsid w:val="009C3568"/>
    <w:rsid w:val="009C3DAC"/>
    <w:rsid w:val="009C42E0"/>
    <w:rsid w:val="009C5115"/>
    <w:rsid w:val="009C5482"/>
    <w:rsid w:val="009C773D"/>
    <w:rsid w:val="009D057F"/>
    <w:rsid w:val="009D06AE"/>
    <w:rsid w:val="009D125D"/>
    <w:rsid w:val="009D2F3B"/>
    <w:rsid w:val="009D417A"/>
    <w:rsid w:val="009D4AFA"/>
    <w:rsid w:val="009D5362"/>
    <w:rsid w:val="009D6B0A"/>
    <w:rsid w:val="009D7738"/>
    <w:rsid w:val="009E063C"/>
    <w:rsid w:val="009E0B7C"/>
    <w:rsid w:val="009E1415"/>
    <w:rsid w:val="009E37C8"/>
    <w:rsid w:val="009E3CF4"/>
    <w:rsid w:val="009E3E2D"/>
    <w:rsid w:val="009E4016"/>
    <w:rsid w:val="009E455A"/>
    <w:rsid w:val="009E563A"/>
    <w:rsid w:val="009E5E94"/>
    <w:rsid w:val="009E6116"/>
    <w:rsid w:val="009E6A5C"/>
    <w:rsid w:val="009E708B"/>
    <w:rsid w:val="009E7A96"/>
    <w:rsid w:val="009F2D81"/>
    <w:rsid w:val="009F3408"/>
    <w:rsid w:val="009F4803"/>
    <w:rsid w:val="009F4D33"/>
    <w:rsid w:val="009F7C42"/>
    <w:rsid w:val="00A016AD"/>
    <w:rsid w:val="00A01969"/>
    <w:rsid w:val="00A02382"/>
    <w:rsid w:val="00A0285A"/>
    <w:rsid w:val="00A02C4E"/>
    <w:rsid w:val="00A02E43"/>
    <w:rsid w:val="00A05E58"/>
    <w:rsid w:val="00A0622E"/>
    <w:rsid w:val="00A065F9"/>
    <w:rsid w:val="00A0677C"/>
    <w:rsid w:val="00A06C75"/>
    <w:rsid w:val="00A07F34"/>
    <w:rsid w:val="00A10012"/>
    <w:rsid w:val="00A1070D"/>
    <w:rsid w:val="00A10834"/>
    <w:rsid w:val="00A10D83"/>
    <w:rsid w:val="00A12054"/>
    <w:rsid w:val="00A13494"/>
    <w:rsid w:val="00A1611C"/>
    <w:rsid w:val="00A17614"/>
    <w:rsid w:val="00A203D8"/>
    <w:rsid w:val="00A20DB5"/>
    <w:rsid w:val="00A211FF"/>
    <w:rsid w:val="00A220B0"/>
    <w:rsid w:val="00A22154"/>
    <w:rsid w:val="00A2348E"/>
    <w:rsid w:val="00A250B6"/>
    <w:rsid w:val="00A25C38"/>
    <w:rsid w:val="00A26AA3"/>
    <w:rsid w:val="00A27DA3"/>
    <w:rsid w:val="00A3157B"/>
    <w:rsid w:val="00A315EE"/>
    <w:rsid w:val="00A31F1D"/>
    <w:rsid w:val="00A32EEE"/>
    <w:rsid w:val="00A3492A"/>
    <w:rsid w:val="00A3682E"/>
    <w:rsid w:val="00A36BBE"/>
    <w:rsid w:val="00A42791"/>
    <w:rsid w:val="00A4279D"/>
    <w:rsid w:val="00A4307A"/>
    <w:rsid w:val="00A43F74"/>
    <w:rsid w:val="00A440FF"/>
    <w:rsid w:val="00A44528"/>
    <w:rsid w:val="00A44DDC"/>
    <w:rsid w:val="00A455AD"/>
    <w:rsid w:val="00A45893"/>
    <w:rsid w:val="00A4617B"/>
    <w:rsid w:val="00A4706D"/>
    <w:rsid w:val="00A47093"/>
    <w:rsid w:val="00A47EBB"/>
    <w:rsid w:val="00A505CA"/>
    <w:rsid w:val="00A5112B"/>
    <w:rsid w:val="00A515F4"/>
    <w:rsid w:val="00A51CDD"/>
    <w:rsid w:val="00A5396B"/>
    <w:rsid w:val="00A55E65"/>
    <w:rsid w:val="00A576B3"/>
    <w:rsid w:val="00A6147B"/>
    <w:rsid w:val="00A618A5"/>
    <w:rsid w:val="00A63AD6"/>
    <w:rsid w:val="00A64008"/>
    <w:rsid w:val="00A6483F"/>
    <w:rsid w:val="00A65205"/>
    <w:rsid w:val="00A65EFF"/>
    <w:rsid w:val="00A664D5"/>
    <w:rsid w:val="00A66D57"/>
    <w:rsid w:val="00A6730D"/>
    <w:rsid w:val="00A70E29"/>
    <w:rsid w:val="00A7109A"/>
    <w:rsid w:val="00A71625"/>
    <w:rsid w:val="00A7177F"/>
    <w:rsid w:val="00A71AA3"/>
    <w:rsid w:val="00A71B9B"/>
    <w:rsid w:val="00A746E1"/>
    <w:rsid w:val="00A7507F"/>
    <w:rsid w:val="00A751C7"/>
    <w:rsid w:val="00A75452"/>
    <w:rsid w:val="00A7572D"/>
    <w:rsid w:val="00A76688"/>
    <w:rsid w:val="00A767B4"/>
    <w:rsid w:val="00A80444"/>
    <w:rsid w:val="00A80F8F"/>
    <w:rsid w:val="00A80FFA"/>
    <w:rsid w:val="00A814C2"/>
    <w:rsid w:val="00A82D03"/>
    <w:rsid w:val="00A83599"/>
    <w:rsid w:val="00A85B58"/>
    <w:rsid w:val="00A86248"/>
    <w:rsid w:val="00A87605"/>
    <w:rsid w:val="00A87627"/>
    <w:rsid w:val="00A87844"/>
    <w:rsid w:val="00A87A1B"/>
    <w:rsid w:val="00A90056"/>
    <w:rsid w:val="00A90A4E"/>
    <w:rsid w:val="00A95B78"/>
    <w:rsid w:val="00A97166"/>
    <w:rsid w:val="00AA0305"/>
    <w:rsid w:val="00AA038C"/>
    <w:rsid w:val="00AA1856"/>
    <w:rsid w:val="00AA1F1C"/>
    <w:rsid w:val="00AA2FCA"/>
    <w:rsid w:val="00AA4586"/>
    <w:rsid w:val="00AA56CE"/>
    <w:rsid w:val="00AA6001"/>
    <w:rsid w:val="00AA7468"/>
    <w:rsid w:val="00AA7A09"/>
    <w:rsid w:val="00AB0B02"/>
    <w:rsid w:val="00AB0B82"/>
    <w:rsid w:val="00AB0F9A"/>
    <w:rsid w:val="00AB1305"/>
    <w:rsid w:val="00AB2258"/>
    <w:rsid w:val="00AB3101"/>
    <w:rsid w:val="00AB3252"/>
    <w:rsid w:val="00AB3B50"/>
    <w:rsid w:val="00AB3EAD"/>
    <w:rsid w:val="00AB66C6"/>
    <w:rsid w:val="00AB75BF"/>
    <w:rsid w:val="00AB7EDA"/>
    <w:rsid w:val="00AC05B1"/>
    <w:rsid w:val="00AC2734"/>
    <w:rsid w:val="00AC292D"/>
    <w:rsid w:val="00AC29FD"/>
    <w:rsid w:val="00AC2FF5"/>
    <w:rsid w:val="00AC467A"/>
    <w:rsid w:val="00AC6A2A"/>
    <w:rsid w:val="00AC6F72"/>
    <w:rsid w:val="00AC6FB8"/>
    <w:rsid w:val="00AD007F"/>
    <w:rsid w:val="00AD0E15"/>
    <w:rsid w:val="00AD114C"/>
    <w:rsid w:val="00AD19D6"/>
    <w:rsid w:val="00AD356C"/>
    <w:rsid w:val="00AD423A"/>
    <w:rsid w:val="00AD479A"/>
    <w:rsid w:val="00AD4AF3"/>
    <w:rsid w:val="00AE0067"/>
    <w:rsid w:val="00AE03AE"/>
    <w:rsid w:val="00AE10D7"/>
    <w:rsid w:val="00AE2284"/>
    <w:rsid w:val="00AE2914"/>
    <w:rsid w:val="00AE2D50"/>
    <w:rsid w:val="00AE41CF"/>
    <w:rsid w:val="00AE4433"/>
    <w:rsid w:val="00AE5B38"/>
    <w:rsid w:val="00AE6C9E"/>
    <w:rsid w:val="00AE6D15"/>
    <w:rsid w:val="00AE7255"/>
    <w:rsid w:val="00AF0AEE"/>
    <w:rsid w:val="00AF1476"/>
    <w:rsid w:val="00AF229B"/>
    <w:rsid w:val="00AF4125"/>
    <w:rsid w:val="00AF4529"/>
    <w:rsid w:val="00AF49BE"/>
    <w:rsid w:val="00AF4BB9"/>
    <w:rsid w:val="00AF5229"/>
    <w:rsid w:val="00AF66D5"/>
    <w:rsid w:val="00AF6FD7"/>
    <w:rsid w:val="00B021AF"/>
    <w:rsid w:val="00B04182"/>
    <w:rsid w:val="00B07AE3"/>
    <w:rsid w:val="00B10D36"/>
    <w:rsid w:val="00B11430"/>
    <w:rsid w:val="00B1173E"/>
    <w:rsid w:val="00B11AC5"/>
    <w:rsid w:val="00B12172"/>
    <w:rsid w:val="00B121E0"/>
    <w:rsid w:val="00B13C53"/>
    <w:rsid w:val="00B13EC1"/>
    <w:rsid w:val="00B1525C"/>
    <w:rsid w:val="00B15481"/>
    <w:rsid w:val="00B15962"/>
    <w:rsid w:val="00B22290"/>
    <w:rsid w:val="00B224FA"/>
    <w:rsid w:val="00B24158"/>
    <w:rsid w:val="00B24622"/>
    <w:rsid w:val="00B24F85"/>
    <w:rsid w:val="00B259CA"/>
    <w:rsid w:val="00B27240"/>
    <w:rsid w:val="00B31328"/>
    <w:rsid w:val="00B31CC8"/>
    <w:rsid w:val="00B34213"/>
    <w:rsid w:val="00B34E9A"/>
    <w:rsid w:val="00B353EB"/>
    <w:rsid w:val="00B35A41"/>
    <w:rsid w:val="00B36548"/>
    <w:rsid w:val="00B366D5"/>
    <w:rsid w:val="00B37437"/>
    <w:rsid w:val="00B40003"/>
    <w:rsid w:val="00B40D71"/>
    <w:rsid w:val="00B414F1"/>
    <w:rsid w:val="00B42312"/>
    <w:rsid w:val="00B433BA"/>
    <w:rsid w:val="00B439C4"/>
    <w:rsid w:val="00B4535E"/>
    <w:rsid w:val="00B457FB"/>
    <w:rsid w:val="00B46645"/>
    <w:rsid w:val="00B468AC"/>
    <w:rsid w:val="00B470FE"/>
    <w:rsid w:val="00B47CC7"/>
    <w:rsid w:val="00B47F59"/>
    <w:rsid w:val="00B5177D"/>
    <w:rsid w:val="00B52A8C"/>
    <w:rsid w:val="00B53E75"/>
    <w:rsid w:val="00B54D56"/>
    <w:rsid w:val="00B557F8"/>
    <w:rsid w:val="00B56E2E"/>
    <w:rsid w:val="00B57545"/>
    <w:rsid w:val="00B57756"/>
    <w:rsid w:val="00B62400"/>
    <w:rsid w:val="00B62568"/>
    <w:rsid w:val="00B63466"/>
    <w:rsid w:val="00B63668"/>
    <w:rsid w:val="00B636A8"/>
    <w:rsid w:val="00B637F5"/>
    <w:rsid w:val="00B64E32"/>
    <w:rsid w:val="00B65A5B"/>
    <w:rsid w:val="00B65C9E"/>
    <w:rsid w:val="00B665C6"/>
    <w:rsid w:val="00B678F6"/>
    <w:rsid w:val="00B679FB"/>
    <w:rsid w:val="00B71318"/>
    <w:rsid w:val="00B740C3"/>
    <w:rsid w:val="00B74B93"/>
    <w:rsid w:val="00B7546D"/>
    <w:rsid w:val="00B76AFE"/>
    <w:rsid w:val="00B77679"/>
    <w:rsid w:val="00B805AF"/>
    <w:rsid w:val="00B80F40"/>
    <w:rsid w:val="00B826B0"/>
    <w:rsid w:val="00B838DC"/>
    <w:rsid w:val="00B866D4"/>
    <w:rsid w:val="00B869EC"/>
    <w:rsid w:val="00B9089F"/>
    <w:rsid w:val="00B924EB"/>
    <w:rsid w:val="00B9318E"/>
    <w:rsid w:val="00B9397A"/>
    <w:rsid w:val="00B9421A"/>
    <w:rsid w:val="00B94C44"/>
    <w:rsid w:val="00B9522C"/>
    <w:rsid w:val="00B9604E"/>
    <w:rsid w:val="00B9633D"/>
    <w:rsid w:val="00B96E09"/>
    <w:rsid w:val="00BA1485"/>
    <w:rsid w:val="00BA224B"/>
    <w:rsid w:val="00BA235C"/>
    <w:rsid w:val="00BA2EBE"/>
    <w:rsid w:val="00BA4396"/>
    <w:rsid w:val="00BA4952"/>
    <w:rsid w:val="00BA4994"/>
    <w:rsid w:val="00BA4E01"/>
    <w:rsid w:val="00BA5570"/>
    <w:rsid w:val="00BA5883"/>
    <w:rsid w:val="00BA683F"/>
    <w:rsid w:val="00BA7C4C"/>
    <w:rsid w:val="00BB0F28"/>
    <w:rsid w:val="00BB11DF"/>
    <w:rsid w:val="00BB2A16"/>
    <w:rsid w:val="00BB2A6D"/>
    <w:rsid w:val="00BB2B4E"/>
    <w:rsid w:val="00BB2BFF"/>
    <w:rsid w:val="00BB2CA3"/>
    <w:rsid w:val="00BB2FBC"/>
    <w:rsid w:val="00BB3135"/>
    <w:rsid w:val="00BB458A"/>
    <w:rsid w:val="00BB4831"/>
    <w:rsid w:val="00BB51BC"/>
    <w:rsid w:val="00BB59CF"/>
    <w:rsid w:val="00BB5C62"/>
    <w:rsid w:val="00BB7061"/>
    <w:rsid w:val="00BB7515"/>
    <w:rsid w:val="00BB7621"/>
    <w:rsid w:val="00BB7FE2"/>
    <w:rsid w:val="00BC0A30"/>
    <w:rsid w:val="00BC136E"/>
    <w:rsid w:val="00BC1B80"/>
    <w:rsid w:val="00BC4036"/>
    <w:rsid w:val="00BC4822"/>
    <w:rsid w:val="00BC5C70"/>
    <w:rsid w:val="00BD00D3"/>
    <w:rsid w:val="00BD081B"/>
    <w:rsid w:val="00BD1659"/>
    <w:rsid w:val="00BD2C0C"/>
    <w:rsid w:val="00BD3AA9"/>
    <w:rsid w:val="00BD3F5B"/>
    <w:rsid w:val="00BD4487"/>
    <w:rsid w:val="00BD4A18"/>
    <w:rsid w:val="00BD6DB2"/>
    <w:rsid w:val="00BD7DF5"/>
    <w:rsid w:val="00BE0CB2"/>
    <w:rsid w:val="00BE11CF"/>
    <w:rsid w:val="00BE1CC2"/>
    <w:rsid w:val="00BE207A"/>
    <w:rsid w:val="00BE21AB"/>
    <w:rsid w:val="00BE389C"/>
    <w:rsid w:val="00BE3A09"/>
    <w:rsid w:val="00BE3F9D"/>
    <w:rsid w:val="00BE4AE0"/>
    <w:rsid w:val="00BE55CB"/>
    <w:rsid w:val="00BE5D54"/>
    <w:rsid w:val="00BE76E7"/>
    <w:rsid w:val="00BF1749"/>
    <w:rsid w:val="00BF203B"/>
    <w:rsid w:val="00BF223D"/>
    <w:rsid w:val="00BF32D2"/>
    <w:rsid w:val="00BF4F03"/>
    <w:rsid w:val="00BF5199"/>
    <w:rsid w:val="00BF5BD5"/>
    <w:rsid w:val="00BF617A"/>
    <w:rsid w:val="00C00C65"/>
    <w:rsid w:val="00C00FC8"/>
    <w:rsid w:val="00C00FDC"/>
    <w:rsid w:val="00C00FED"/>
    <w:rsid w:val="00C0197B"/>
    <w:rsid w:val="00C0379D"/>
    <w:rsid w:val="00C03931"/>
    <w:rsid w:val="00C040A2"/>
    <w:rsid w:val="00C058FC"/>
    <w:rsid w:val="00C05FE3"/>
    <w:rsid w:val="00C06D9D"/>
    <w:rsid w:val="00C07F2D"/>
    <w:rsid w:val="00C1132C"/>
    <w:rsid w:val="00C12474"/>
    <w:rsid w:val="00C12CA4"/>
    <w:rsid w:val="00C14D80"/>
    <w:rsid w:val="00C173AE"/>
    <w:rsid w:val="00C174BF"/>
    <w:rsid w:val="00C20671"/>
    <w:rsid w:val="00C20D88"/>
    <w:rsid w:val="00C2136D"/>
    <w:rsid w:val="00C214EE"/>
    <w:rsid w:val="00C2216B"/>
    <w:rsid w:val="00C2314B"/>
    <w:rsid w:val="00C23E9D"/>
    <w:rsid w:val="00C24774"/>
    <w:rsid w:val="00C24971"/>
    <w:rsid w:val="00C250F5"/>
    <w:rsid w:val="00C26B2A"/>
    <w:rsid w:val="00C26BE5"/>
    <w:rsid w:val="00C26E4D"/>
    <w:rsid w:val="00C27909"/>
    <w:rsid w:val="00C27B03"/>
    <w:rsid w:val="00C3009E"/>
    <w:rsid w:val="00C314E1"/>
    <w:rsid w:val="00C324D4"/>
    <w:rsid w:val="00C34098"/>
    <w:rsid w:val="00C34397"/>
    <w:rsid w:val="00C36325"/>
    <w:rsid w:val="00C40018"/>
    <w:rsid w:val="00C40703"/>
    <w:rsid w:val="00C40905"/>
    <w:rsid w:val="00C4095D"/>
    <w:rsid w:val="00C42EB5"/>
    <w:rsid w:val="00C436B4"/>
    <w:rsid w:val="00C44E57"/>
    <w:rsid w:val="00C4645A"/>
    <w:rsid w:val="00C47228"/>
    <w:rsid w:val="00C477C1"/>
    <w:rsid w:val="00C47AE1"/>
    <w:rsid w:val="00C52224"/>
    <w:rsid w:val="00C5431B"/>
    <w:rsid w:val="00C54BCB"/>
    <w:rsid w:val="00C55677"/>
    <w:rsid w:val="00C55DBE"/>
    <w:rsid w:val="00C601D2"/>
    <w:rsid w:val="00C61C2C"/>
    <w:rsid w:val="00C62B13"/>
    <w:rsid w:val="00C63309"/>
    <w:rsid w:val="00C657F4"/>
    <w:rsid w:val="00C65BCC"/>
    <w:rsid w:val="00C6607C"/>
    <w:rsid w:val="00C66970"/>
    <w:rsid w:val="00C70275"/>
    <w:rsid w:val="00C70371"/>
    <w:rsid w:val="00C71031"/>
    <w:rsid w:val="00C71DDA"/>
    <w:rsid w:val="00C71F36"/>
    <w:rsid w:val="00C7505B"/>
    <w:rsid w:val="00C75AC5"/>
    <w:rsid w:val="00C7710D"/>
    <w:rsid w:val="00C778E7"/>
    <w:rsid w:val="00C81C2D"/>
    <w:rsid w:val="00C8259B"/>
    <w:rsid w:val="00C83B9F"/>
    <w:rsid w:val="00C84C4C"/>
    <w:rsid w:val="00C8568C"/>
    <w:rsid w:val="00C85991"/>
    <w:rsid w:val="00C8691C"/>
    <w:rsid w:val="00C86CB2"/>
    <w:rsid w:val="00C876D8"/>
    <w:rsid w:val="00C87CED"/>
    <w:rsid w:val="00C87F11"/>
    <w:rsid w:val="00C91EDE"/>
    <w:rsid w:val="00C920A0"/>
    <w:rsid w:val="00C92359"/>
    <w:rsid w:val="00C95DCD"/>
    <w:rsid w:val="00C978F3"/>
    <w:rsid w:val="00C97EE1"/>
    <w:rsid w:val="00CA031C"/>
    <w:rsid w:val="00CA045B"/>
    <w:rsid w:val="00CA13FE"/>
    <w:rsid w:val="00CA168A"/>
    <w:rsid w:val="00CA285B"/>
    <w:rsid w:val="00CA357E"/>
    <w:rsid w:val="00CA44F9"/>
    <w:rsid w:val="00CA4A69"/>
    <w:rsid w:val="00CA5BA7"/>
    <w:rsid w:val="00CA6436"/>
    <w:rsid w:val="00CA6627"/>
    <w:rsid w:val="00CA767F"/>
    <w:rsid w:val="00CA77D5"/>
    <w:rsid w:val="00CB0388"/>
    <w:rsid w:val="00CB10F5"/>
    <w:rsid w:val="00CB1BB0"/>
    <w:rsid w:val="00CB1F0B"/>
    <w:rsid w:val="00CB2D59"/>
    <w:rsid w:val="00CB3350"/>
    <w:rsid w:val="00CB38F6"/>
    <w:rsid w:val="00CB44E2"/>
    <w:rsid w:val="00CB51FA"/>
    <w:rsid w:val="00CB56C9"/>
    <w:rsid w:val="00CB5805"/>
    <w:rsid w:val="00CB5A6D"/>
    <w:rsid w:val="00CB71A8"/>
    <w:rsid w:val="00CC0D82"/>
    <w:rsid w:val="00CC1F2E"/>
    <w:rsid w:val="00CC1F3B"/>
    <w:rsid w:val="00CC2B02"/>
    <w:rsid w:val="00CC3E0C"/>
    <w:rsid w:val="00CC5182"/>
    <w:rsid w:val="00CC58D3"/>
    <w:rsid w:val="00CC7433"/>
    <w:rsid w:val="00CC7826"/>
    <w:rsid w:val="00CC784D"/>
    <w:rsid w:val="00CC7D8A"/>
    <w:rsid w:val="00CD1581"/>
    <w:rsid w:val="00CD3B94"/>
    <w:rsid w:val="00CD41FA"/>
    <w:rsid w:val="00CD471A"/>
    <w:rsid w:val="00CD4925"/>
    <w:rsid w:val="00CD4EFD"/>
    <w:rsid w:val="00CD5E9D"/>
    <w:rsid w:val="00CE15E5"/>
    <w:rsid w:val="00CE176A"/>
    <w:rsid w:val="00CE2625"/>
    <w:rsid w:val="00CE2AA8"/>
    <w:rsid w:val="00CE31A9"/>
    <w:rsid w:val="00CE3469"/>
    <w:rsid w:val="00CE3618"/>
    <w:rsid w:val="00CE7B66"/>
    <w:rsid w:val="00CF160C"/>
    <w:rsid w:val="00CF329F"/>
    <w:rsid w:val="00CF367C"/>
    <w:rsid w:val="00CF4E27"/>
    <w:rsid w:val="00CF632A"/>
    <w:rsid w:val="00CF68BE"/>
    <w:rsid w:val="00CF6BD7"/>
    <w:rsid w:val="00CF7F2A"/>
    <w:rsid w:val="00D00F09"/>
    <w:rsid w:val="00D021ED"/>
    <w:rsid w:val="00D0337B"/>
    <w:rsid w:val="00D0360C"/>
    <w:rsid w:val="00D0432E"/>
    <w:rsid w:val="00D04AF7"/>
    <w:rsid w:val="00D04C77"/>
    <w:rsid w:val="00D05148"/>
    <w:rsid w:val="00D05D8F"/>
    <w:rsid w:val="00D079B2"/>
    <w:rsid w:val="00D106BE"/>
    <w:rsid w:val="00D114E9"/>
    <w:rsid w:val="00D1197B"/>
    <w:rsid w:val="00D119CF"/>
    <w:rsid w:val="00D13104"/>
    <w:rsid w:val="00D13B64"/>
    <w:rsid w:val="00D13BF4"/>
    <w:rsid w:val="00D13DD8"/>
    <w:rsid w:val="00D1688B"/>
    <w:rsid w:val="00D17EE7"/>
    <w:rsid w:val="00D20295"/>
    <w:rsid w:val="00D20917"/>
    <w:rsid w:val="00D20AEA"/>
    <w:rsid w:val="00D211BC"/>
    <w:rsid w:val="00D21539"/>
    <w:rsid w:val="00D21C05"/>
    <w:rsid w:val="00D238F7"/>
    <w:rsid w:val="00D23AFD"/>
    <w:rsid w:val="00D23D80"/>
    <w:rsid w:val="00D244AE"/>
    <w:rsid w:val="00D24543"/>
    <w:rsid w:val="00D24844"/>
    <w:rsid w:val="00D2585A"/>
    <w:rsid w:val="00D25F12"/>
    <w:rsid w:val="00D26B20"/>
    <w:rsid w:val="00D3325A"/>
    <w:rsid w:val="00D34A4D"/>
    <w:rsid w:val="00D35E66"/>
    <w:rsid w:val="00D36069"/>
    <w:rsid w:val="00D36883"/>
    <w:rsid w:val="00D41D17"/>
    <w:rsid w:val="00D429C6"/>
    <w:rsid w:val="00D43D3C"/>
    <w:rsid w:val="00D44C10"/>
    <w:rsid w:val="00D47748"/>
    <w:rsid w:val="00D477BC"/>
    <w:rsid w:val="00D47FD2"/>
    <w:rsid w:val="00D52351"/>
    <w:rsid w:val="00D52DBD"/>
    <w:rsid w:val="00D53B1A"/>
    <w:rsid w:val="00D54CC3"/>
    <w:rsid w:val="00D55730"/>
    <w:rsid w:val="00D564BC"/>
    <w:rsid w:val="00D6041A"/>
    <w:rsid w:val="00D60F62"/>
    <w:rsid w:val="00D61FB4"/>
    <w:rsid w:val="00D633EB"/>
    <w:rsid w:val="00D66184"/>
    <w:rsid w:val="00D66772"/>
    <w:rsid w:val="00D67E24"/>
    <w:rsid w:val="00D67FB3"/>
    <w:rsid w:val="00D71956"/>
    <w:rsid w:val="00D73ED8"/>
    <w:rsid w:val="00D743E6"/>
    <w:rsid w:val="00D75F83"/>
    <w:rsid w:val="00D77792"/>
    <w:rsid w:val="00D802C7"/>
    <w:rsid w:val="00D8127F"/>
    <w:rsid w:val="00D82FF7"/>
    <w:rsid w:val="00D83F39"/>
    <w:rsid w:val="00D84413"/>
    <w:rsid w:val="00D847FE"/>
    <w:rsid w:val="00D85F88"/>
    <w:rsid w:val="00D90583"/>
    <w:rsid w:val="00D9135A"/>
    <w:rsid w:val="00D93938"/>
    <w:rsid w:val="00D9393B"/>
    <w:rsid w:val="00D943D0"/>
    <w:rsid w:val="00D9481A"/>
    <w:rsid w:val="00D95189"/>
    <w:rsid w:val="00D964EA"/>
    <w:rsid w:val="00D966D0"/>
    <w:rsid w:val="00DA0337"/>
    <w:rsid w:val="00DA0386"/>
    <w:rsid w:val="00DA0C59"/>
    <w:rsid w:val="00DA273F"/>
    <w:rsid w:val="00DA2BDC"/>
    <w:rsid w:val="00DA3991"/>
    <w:rsid w:val="00DA43B4"/>
    <w:rsid w:val="00DA4AFA"/>
    <w:rsid w:val="00DA632E"/>
    <w:rsid w:val="00DA706A"/>
    <w:rsid w:val="00DB052A"/>
    <w:rsid w:val="00DB1523"/>
    <w:rsid w:val="00DB1626"/>
    <w:rsid w:val="00DB29CF"/>
    <w:rsid w:val="00DB4B54"/>
    <w:rsid w:val="00DB4B5C"/>
    <w:rsid w:val="00DB68CC"/>
    <w:rsid w:val="00DB6F69"/>
    <w:rsid w:val="00DB7E6C"/>
    <w:rsid w:val="00DC0CE9"/>
    <w:rsid w:val="00DC13BC"/>
    <w:rsid w:val="00DC44FE"/>
    <w:rsid w:val="00DC46DE"/>
    <w:rsid w:val="00DC597A"/>
    <w:rsid w:val="00DC7B4F"/>
    <w:rsid w:val="00DC7E9B"/>
    <w:rsid w:val="00DD1241"/>
    <w:rsid w:val="00DD1E75"/>
    <w:rsid w:val="00DD2CCC"/>
    <w:rsid w:val="00DD4F58"/>
    <w:rsid w:val="00DD5A29"/>
    <w:rsid w:val="00DD5D9D"/>
    <w:rsid w:val="00DD7022"/>
    <w:rsid w:val="00DD7419"/>
    <w:rsid w:val="00DD761C"/>
    <w:rsid w:val="00DE0DF5"/>
    <w:rsid w:val="00DE1F16"/>
    <w:rsid w:val="00DE2749"/>
    <w:rsid w:val="00DE275A"/>
    <w:rsid w:val="00DE2995"/>
    <w:rsid w:val="00DE35CB"/>
    <w:rsid w:val="00DE36E3"/>
    <w:rsid w:val="00DE4590"/>
    <w:rsid w:val="00DE4B55"/>
    <w:rsid w:val="00DE4ED3"/>
    <w:rsid w:val="00DE60EF"/>
    <w:rsid w:val="00DE6DA7"/>
    <w:rsid w:val="00DE7BDF"/>
    <w:rsid w:val="00DF0CCC"/>
    <w:rsid w:val="00DF1A46"/>
    <w:rsid w:val="00DF1AA7"/>
    <w:rsid w:val="00DF21E9"/>
    <w:rsid w:val="00DF2C53"/>
    <w:rsid w:val="00DF46B9"/>
    <w:rsid w:val="00DF5620"/>
    <w:rsid w:val="00DF591B"/>
    <w:rsid w:val="00DF714C"/>
    <w:rsid w:val="00DF7846"/>
    <w:rsid w:val="00DF7BB7"/>
    <w:rsid w:val="00E0039D"/>
    <w:rsid w:val="00E00F14"/>
    <w:rsid w:val="00E01141"/>
    <w:rsid w:val="00E01574"/>
    <w:rsid w:val="00E023AB"/>
    <w:rsid w:val="00E02CE5"/>
    <w:rsid w:val="00E048E3"/>
    <w:rsid w:val="00E0501B"/>
    <w:rsid w:val="00E052C6"/>
    <w:rsid w:val="00E06386"/>
    <w:rsid w:val="00E0647F"/>
    <w:rsid w:val="00E0686A"/>
    <w:rsid w:val="00E074CC"/>
    <w:rsid w:val="00E119B5"/>
    <w:rsid w:val="00E1389A"/>
    <w:rsid w:val="00E1501F"/>
    <w:rsid w:val="00E15C68"/>
    <w:rsid w:val="00E16D0F"/>
    <w:rsid w:val="00E171EE"/>
    <w:rsid w:val="00E2015F"/>
    <w:rsid w:val="00E20533"/>
    <w:rsid w:val="00E20648"/>
    <w:rsid w:val="00E226DE"/>
    <w:rsid w:val="00E23374"/>
    <w:rsid w:val="00E2476E"/>
    <w:rsid w:val="00E24C6F"/>
    <w:rsid w:val="00E24EB4"/>
    <w:rsid w:val="00E2767E"/>
    <w:rsid w:val="00E31511"/>
    <w:rsid w:val="00E320ED"/>
    <w:rsid w:val="00E33AFB"/>
    <w:rsid w:val="00E34218"/>
    <w:rsid w:val="00E348AE"/>
    <w:rsid w:val="00E3687E"/>
    <w:rsid w:val="00E373C1"/>
    <w:rsid w:val="00E373EC"/>
    <w:rsid w:val="00E40F1A"/>
    <w:rsid w:val="00E41D5B"/>
    <w:rsid w:val="00E41FCD"/>
    <w:rsid w:val="00E455A5"/>
    <w:rsid w:val="00E45BCE"/>
    <w:rsid w:val="00E46282"/>
    <w:rsid w:val="00E46508"/>
    <w:rsid w:val="00E47FFA"/>
    <w:rsid w:val="00E51777"/>
    <w:rsid w:val="00E5216E"/>
    <w:rsid w:val="00E56419"/>
    <w:rsid w:val="00E5751D"/>
    <w:rsid w:val="00E60E0B"/>
    <w:rsid w:val="00E61170"/>
    <w:rsid w:val="00E6273E"/>
    <w:rsid w:val="00E6531E"/>
    <w:rsid w:val="00E65BEB"/>
    <w:rsid w:val="00E66518"/>
    <w:rsid w:val="00E736D4"/>
    <w:rsid w:val="00E73934"/>
    <w:rsid w:val="00E74F36"/>
    <w:rsid w:val="00E7559E"/>
    <w:rsid w:val="00E75A90"/>
    <w:rsid w:val="00E7661C"/>
    <w:rsid w:val="00E7745C"/>
    <w:rsid w:val="00E814C8"/>
    <w:rsid w:val="00E82344"/>
    <w:rsid w:val="00E82F5F"/>
    <w:rsid w:val="00E834BC"/>
    <w:rsid w:val="00E84C82"/>
    <w:rsid w:val="00E84D64"/>
    <w:rsid w:val="00E84DC2"/>
    <w:rsid w:val="00E86D5A"/>
    <w:rsid w:val="00E870CB"/>
    <w:rsid w:val="00E87408"/>
    <w:rsid w:val="00E911BA"/>
    <w:rsid w:val="00E9125C"/>
    <w:rsid w:val="00E914C4"/>
    <w:rsid w:val="00E934F5"/>
    <w:rsid w:val="00E937DB"/>
    <w:rsid w:val="00E944C0"/>
    <w:rsid w:val="00E94BB7"/>
    <w:rsid w:val="00E94D49"/>
    <w:rsid w:val="00E94DB6"/>
    <w:rsid w:val="00E961DE"/>
    <w:rsid w:val="00E96961"/>
    <w:rsid w:val="00E96E9F"/>
    <w:rsid w:val="00EA059A"/>
    <w:rsid w:val="00EA207E"/>
    <w:rsid w:val="00EA255C"/>
    <w:rsid w:val="00EA265A"/>
    <w:rsid w:val="00EA3C2A"/>
    <w:rsid w:val="00EA3FFA"/>
    <w:rsid w:val="00EA4EBF"/>
    <w:rsid w:val="00EA4FD6"/>
    <w:rsid w:val="00EA66F8"/>
    <w:rsid w:val="00EA72EC"/>
    <w:rsid w:val="00EB0637"/>
    <w:rsid w:val="00EB11CB"/>
    <w:rsid w:val="00EB275A"/>
    <w:rsid w:val="00EB2831"/>
    <w:rsid w:val="00EB391F"/>
    <w:rsid w:val="00EB6A17"/>
    <w:rsid w:val="00EB786A"/>
    <w:rsid w:val="00EC064D"/>
    <w:rsid w:val="00EC1578"/>
    <w:rsid w:val="00EC176C"/>
    <w:rsid w:val="00EC1C72"/>
    <w:rsid w:val="00EC22DF"/>
    <w:rsid w:val="00EC347A"/>
    <w:rsid w:val="00EC3CC9"/>
    <w:rsid w:val="00EC4428"/>
    <w:rsid w:val="00EC4FE0"/>
    <w:rsid w:val="00EC53CF"/>
    <w:rsid w:val="00EC680A"/>
    <w:rsid w:val="00EC6851"/>
    <w:rsid w:val="00ED0C11"/>
    <w:rsid w:val="00ED12D4"/>
    <w:rsid w:val="00ED331F"/>
    <w:rsid w:val="00ED5ED2"/>
    <w:rsid w:val="00ED7232"/>
    <w:rsid w:val="00EE0585"/>
    <w:rsid w:val="00EE0814"/>
    <w:rsid w:val="00EE0C59"/>
    <w:rsid w:val="00EE1657"/>
    <w:rsid w:val="00EE1F54"/>
    <w:rsid w:val="00EE2BED"/>
    <w:rsid w:val="00EE2FA3"/>
    <w:rsid w:val="00EE34B0"/>
    <w:rsid w:val="00EE374B"/>
    <w:rsid w:val="00EE3DAB"/>
    <w:rsid w:val="00EE4C1E"/>
    <w:rsid w:val="00EE4CA8"/>
    <w:rsid w:val="00EE6A53"/>
    <w:rsid w:val="00EE71D7"/>
    <w:rsid w:val="00EE7B0C"/>
    <w:rsid w:val="00EE7F3A"/>
    <w:rsid w:val="00EF0ED6"/>
    <w:rsid w:val="00EF19FB"/>
    <w:rsid w:val="00EF1D21"/>
    <w:rsid w:val="00EF2BE0"/>
    <w:rsid w:val="00EF542E"/>
    <w:rsid w:val="00EF63A4"/>
    <w:rsid w:val="00EF7335"/>
    <w:rsid w:val="00EF73F7"/>
    <w:rsid w:val="00F015E1"/>
    <w:rsid w:val="00F02BD5"/>
    <w:rsid w:val="00F02F2E"/>
    <w:rsid w:val="00F03508"/>
    <w:rsid w:val="00F03F53"/>
    <w:rsid w:val="00F0454F"/>
    <w:rsid w:val="00F053E1"/>
    <w:rsid w:val="00F05C13"/>
    <w:rsid w:val="00F05E7E"/>
    <w:rsid w:val="00F07601"/>
    <w:rsid w:val="00F07974"/>
    <w:rsid w:val="00F07AFF"/>
    <w:rsid w:val="00F105FF"/>
    <w:rsid w:val="00F11BB5"/>
    <w:rsid w:val="00F12074"/>
    <w:rsid w:val="00F12227"/>
    <w:rsid w:val="00F12356"/>
    <w:rsid w:val="00F12604"/>
    <w:rsid w:val="00F12A89"/>
    <w:rsid w:val="00F12E77"/>
    <w:rsid w:val="00F13BAB"/>
    <w:rsid w:val="00F1417B"/>
    <w:rsid w:val="00F146C5"/>
    <w:rsid w:val="00F149F5"/>
    <w:rsid w:val="00F14B13"/>
    <w:rsid w:val="00F14C04"/>
    <w:rsid w:val="00F16185"/>
    <w:rsid w:val="00F16EBB"/>
    <w:rsid w:val="00F204B1"/>
    <w:rsid w:val="00F2141D"/>
    <w:rsid w:val="00F22DB2"/>
    <w:rsid w:val="00F25758"/>
    <w:rsid w:val="00F25DC1"/>
    <w:rsid w:val="00F25E99"/>
    <w:rsid w:val="00F262F3"/>
    <w:rsid w:val="00F26B53"/>
    <w:rsid w:val="00F2730A"/>
    <w:rsid w:val="00F27638"/>
    <w:rsid w:val="00F277EB"/>
    <w:rsid w:val="00F3205E"/>
    <w:rsid w:val="00F34B99"/>
    <w:rsid w:val="00F3540F"/>
    <w:rsid w:val="00F35677"/>
    <w:rsid w:val="00F368F8"/>
    <w:rsid w:val="00F37C28"/>
    <w:rsid w:val="00F40804"/>
    <w:rsid w:val="00F42214"/>
    <w:rsid w:val="00F43A1C"/>
    <w:rsid w:val="00F43D05"/>
    <w:rsid w:val="00F45748"/>
    <w:rsid w:val="00F472CF"/>
    <w:rsid w:val="00F51071"/>
    <w:rsid w:val="00F522A6"/>
    <w:rsid w:val="00F523D2"/>
    <w:rsid w:val="00F52DAB"/>
    <w:rsid w:val="00F531CD"/>
    <w:rsid w:val="00F53823"/>
    <w:rsid w:val="00F543F0"/>
    <w:rsid w:val="00F55541"/>
    <w:rsid w:val="00F61622"/>
    <w:rsid w:val="00F616E0"/>
    <w:rsid w:val="00F61847"/>
    <w:rsid w:val="00F62BDC"/>
    <w:rsid w:val="00F6344D"/>
    <w:rsid w:val="00F64C94"/>
    <w:rsid w:val="00F655C3"/>
    <w:rsid w:val="00F6665D"/>
    <w:rsid w:val="00F66E49"/>
    <w:rsid w:val="00F672FA"/>
    <w:rsid w:val="00F673E4"/>
    <w:rsid w:val="00F675E0"/>
    <w:rsid w:val="00F70AF3"/>
    <w:rsid w:val="00F74196"/>
    <w:rsid w:val="00F742C3"/>
    <w:rsid w:val="00F75234"/>
    <w:rsid w:val="00F75A3B"/>
    <w:rsid w:val="00F76097"/>
    <w:rsid w:val="00F764ED"/>
    <w:rsid w:val="00F80862"/>
    <w:rsid w:val="00F81197"/>
    <w:rsid w:val="00F81B91"/>
    <w:rsid w:val="00F81D29"/>
    <w:rsid w:val="00F825C3"/>
    <w:rsid w:val="00F826F9"/>
    <w:rsid w:val="00F82D07"/>
    <w:rsid w:val="00F83922"/>
    <w:rsid w:val="00F8415E"/>
    <w:rsid w:val="00F852F3"/>
    <w:rsid w:val="00F8562A"/>
    <w:rsid w:val="00F86795"/>
    <w:rsid w:val="00F90C13"/>
    <w:rsid w:val="00F90D2E"/>
    <w:rsid w:val="00F916B5"/>
    <w:rsid w:val="00F91C4D"/>
    <w:rsid w:val="00F92FD9"/>
    <w:rsid w:val="00F94597"/>
    <w:rsid w:val="00F95392"/>
    <w:rsid w:val="00FA0003"/>
    <w:rsid w:val="00FA02DE"/>
    <w:rsid w:val="00FA0C3C"/>
    <w:rsid w:val="00FA0E60"/>
    <w:rsid w:val="00FA1450"/>
    <w:rsid w:val="00FA4AF7"/>
    <w:rsid w:val="00FA5574"/>
    <w:rsid w:val="00FA6684"/>
    <w:rsid w:val="00FA731E"/>
    <w:rsid w:val="00FA73B8"/>
    <w:rsid w:val="00FB0983"/>
    <w:rsid w:val="00FB2B38"/>
    <w:rsid w:val="00FB3E54"/>
    <w:rsid w:val="00FC0284"/>
    <w:rsid w:val="00FC09C2"/>
    <w:rsid w:val="00FC0B05"/>
    <w:rsid w:val="00FC3B02"/>
    <w:rsid w:val="00FC4BAD"/>
    <w:rsid w:val="00FC58AE"/>
    <w:rsid w:val="00FC6358"/>
    <w:rsid w:val="00FC71E5"/>
    <w:rsid w:val="00FC7B72"/>
    <w:rsid w:val="00FC7CEF"/>
    <w:rsid w:val="00FC7E9D"/>
    <w:rsid w:val="00FD1F8B"/>
    <w:rsid w:val="00FD320D"/>
    <w:rsid w:val="00FD39D0"/>
    <w:rsid w:val="00FD427F"/>
    <w:rsid w:val="00FD4C65"/>
    <w:rsid w:val="00FD6344"/>
    <w:rsid w:val="00FD6E1C"/>
    <w:rsid w:val="00FD7A8D"/>
    <w:rsid w:val="00FE0CDD"/>
    <w:rsid w:val="00FE23DE"/>
    <w:rsid w:val="00FE2C8F"/>
    <w:rsid w:val="00FE3BE5"/>
    <w:rsid w:val="00FE56A8"/>
    <w:rsid w:val="00FE5ACE"/>
    <w:rsid w:val="00FE5D9B"/>
    <w:rsid w:val="00FE626D"/>
    <w:rsid w:val="00FE7396"/>
    <w:rsid w:val="00FF2BA5"/>
    <w:rsid w:val="00FF2C1A"/>
    <w:rsid w:val="00FF2F8F"/>
    <w:rsid w:val="00FF35DB"/>
    <w:rsid w:val="00FF4F05"/>
    <w:rsid w:val="00FF50B4"/>
    <w:rsid w:val="00FF6456"/>
    <w:rsid w:val="00FF67EB"/>
    <w:rsid w:val="00FF6E4F"/>
    <w:rsid w:val="00FF70CE"/>
    <w:rsid w:val="01636647"/>
    <w:rsid w:val="01892A76"/>
    <w:rsid w:val="01941DCC"/>
    <w:rsid w:val="019B7DCE"/>
    <w:rsid w:val="01A54462"/>
    <w:rsid w:val="01CE57C3"/>
    <w:rsid w:val="01E732CF"/>
    <w:rsid w:val="021A0D75"/>
    <w:rsid w:val="023B3818"/>
    <w:rsid w:val="024239DC"/>
    <w:rsid w:val="027705A1"/>
    <w:rsid w:val="02C03B91"/>
    <w:rsid w:val="02F4363C"/>
    <w:rsid w:val="03180271"/>
    <w:rsid w:val="03240E7C"/>
    <w:rsid w:val="032514E9"/>
    <w:rsid w:val="03362FD3"/>
    <w:rsid w:val="03B26637"/>
    <w:rsid w:val="03B7674B"/>
    <w:rsid w:val="03C27847"/>
    <w:rsid w:val="03CD03A9"/>
    <w:rsid w:val="03D825C0"/>
    <w:rsid w:val="03F56CB1"/>
    <w:rsid w:val="042A5932"/>
    <w:rsid w:val="049A5C4A"/>
    <w:rsid w:val="04A56869"/>
    <w:rsid w:val="04C306D6"/>
    <w:rsid w:val="04D3185A"/>
    <w:rsid w:val="050206B3"/>
    <w:rsid w:val="053B5F91"/>
    <w:rsid w:val="05751B9D"/>
    <w:rsid w:val="057F0226"/>
    <w:rsid w:val="05C714C5"/>
    <w:rsid w:val="05DE6435"/>
    <w:rsid w:val="060E2170"/>
    <w:rsid w:val="064F4877"/>
    <w:rsid w:val="06DB1666"/>
    <w:rsid w:val="06DD2E51"/>
    <w:rsid w:val="06E753EE"/>
    <w:rsid w:val="06FC7500"/>
    <w:rsid w:val="07027C89"/>
    <w:rsid w:val="070F53C3"/>
    <w:rsid w:val="071B251C"/>
    <w:rsid w:val="074C2E07"/>
    <w:rsid w:val="0771004E"/>
    <w:rsid w:val="0775686A"/>
    <w:rsid w:val="07BA7214"/>
    <w:rsid w:val="07F80801"/>
    <w:rsid w:val="081F1394"/>
    <w:rsid w:val="0820773D"/>
    <w:rsid w:val="084B7AB1"/>
    <w:rsid w:val="084E473A"/>
    <w:rsid w:val="086C0384"/>
    <w:rsid w:val="087F33F9"/>
    <w:rsid w:val="088C6289"/>
    <w:rsid w:val="08DE41A9"/>
    <w:rsid w:val="09067E23"/>
    <w:rsid w:val="09095E31"/>
    <w:rsid w:val="09120935"/>
    <w:rsid w:val="095C6451"/>
    <w:rsid w:val="096C5198"/>
    <w:rsid w:val="098539B1"/>
    <w:rsid w:val="09960A8D"/>
    <w:rsid w:val="0A0D7C29"/>
    <w:rsid w:val="0A9375F4"/>
    <w:rsid w:val="0AB42413"/>
    <w:rsid w:val="0AB76C28"/>
    <w:rsid w:val="0AE053D2"/>
    <w:rsid w:val="0B1106C7"/>
    <w:rsid w:val="0B28697E"/>
    <w:rsid w:val="0B3D4339"/>
    <w:rsid w:val="0B411725"/>
    <w:rsid w:val="0B864CA4"/>
    <w:rsid w:val="0BA05B22"/>
    <w:rsid w:val="0BE94CE3"/>
    <w:rsid w:val="0C080C0E"/>
    <w:rsid w:val="0C4B1A42"/>
    <w:rsid w:val="0C771259"/>
    <w:rsid w:val="0C852224"/>
    <w:rsid w:val="0C863C95"/>
    <w:rsid w:val="0C8F39EF"/>
    <w:rsid w:val="0CD649C2"/>
    <w:rsid w:val="0CE8465F"/>
    <w:rsid w:val="0CEB1081"/>
    <w:rsid w:val="0CFC6309"/>
    <w:rsid w:val="0D1B6142"/>
    <w:rsid w:val="0D1C22AA"/>
    <w:rsid w:val="0D4C1196"/>
    <w:rsid w:val="0D4C4948"/>
    <w:rsid w:val="0D74249D"/>
    <w:rsid w:val="0DBC2096"/>
    <w:rsid w:val="0DC76739"/>
    <w:rsid w:val="0DC95BD1"/>
    <w:rsid w:val="0DCB28C0"/>
    <w:rsid w:val="0E1E388C"/>
    <w:rsid w:val="0E242E05"/>
    <w:rsid w:val="0E272C54"/>
    <w:rsid w:val="0E521F95"/>
    <w:rsid w:val="0EA13B0A"/>
    <w:rsid w:val="0EAE0EF5"/>
    <w:rsid w:val="0ED95E7C"/>
    <w:rsid w:val="0EDA3FF8"/>
    <w:rsid w:val="0F455DED"/>
    <w:rsid w:val="0F7436E3"/>
    <w:rsid w:val="0F7A4B8C"/>
    <w:rsid w:val="0F9D73A2"/>
    <w:rsid w:val="0FDA150E"/>
    <w:rsid w:val="10025BB2"/>
    <w:rsid w:val="1036024D"/>
    <w:rsid w:val="10703255"/>
    <w:rsid w:val="10910B95"/>
    <w:rsid w:val="109A2F65"/>
    <w:rsid w:val="10E7104E"/>
    <w:rsid w:val="11057DFE"/>
    <w:rsid w:val="11252A2D"/>
    <w:rsid w:val="11AE6822"/>
    <w:rsid w:val="11C2364E"/>
    <w:rsid w:val="11EF7C4D"/>
    <w:rsid w:val="12025730"/>
    <w:rsid w:val="1223513F"/>
    <w:rsid w:val="122E1900"/>
    <w:rsid w:val="126B4497"/>
    <w:rsid w:val="1271718D"/>
    <w:rsid w:val="128A487B"/>
    <w:rsid w:val="12965B66"/>
    <w:rsid w:val="12981173"/>
    <w:rsid w:val="12CE6458"/>
    <w:rsid w:val="13072C2B"/>
    <w:rsid w:val="13145084"/>
    <w:rsid w:val="133373B3"/>
    <w:rsid w:val="13440C04"/>
    <w:rsid w:val="13AF684B"/>
    <w:rsid w:val="141C39B2"/>
    <w:rsid w:val="14215C4A"/>
    <w:rsid w:val="1430702E"/>
    <w:rsid w:val="144B5156"/>
    <w:rsid w:val="148D12AC"/>
    <w:rsid w:val="148D5A89"/>
    <w:rsid w:val="14D2727C"/>
    <w:rsid w:val="14F71216"/>
    <w:rsid w:val="15306025"/>
    <w:rsid w:val="155402FE"/>
    <w:rsid w:val="155414DE"/>
    <w:rsid w:val="155A51CC"/>
    <w:rsid w:val="15835129"/>
    <w:rsid w:val="15917628"/>
    <w:rsid w:val="15B21D6F"/>
    <w:rsid w:val="163C5D61"/>
    <w:rsid w:val="165E01FD"/>
    <w:rsid w:val="167179BE"/>
    <w:rsid w:val="167B3D4F"/>
    <w:rsid w:val="167E5B09"/>
    <w:rsid w:val="16A06C5D"/>
    <w:rsid w:val="16BC1C67"/>
    <w:rsid w:val="16ED475E"/>
    <w:rsid w:val="171038A9"/>
    <w:rsid w:val="17467598"/>
    <w:rsid w:val="17A64E06"/>
    <w:rsid w:val="17D238F2"/>
    <w:rsid w:val="17E703F0"/>
    <w:rsid w:val="17F216CA"/>
    <w:rsid w:val="1830439A"/>
    <w:rsid w:val="18391204"/>
    <w:rsid w:val="18535E88"/>
    <w:rsid w:val="1889614B"/>
    <w:rsid w:val="18945310"/>
    <w:rsid w:val="18AC1D5A"/>
    <w:rsid w:val="19062DB6"/>
    <w:rsid w:val="193D654D"/>
    <w:rsid w:val="197B2DD2"/>
    <w:rsid w:val="19BF35BE"/>
    <w:rsid w:val="19E10690"/>
    <w:rsid w:val="19FF7177"/>
    <w:rsid w:val="1A1D166E"/>
    <w:rsid w:val="1A5D3ADA"/>
    <w:rsid w:val="1A61237A"/>
    <w:rsid w:val="1A7E4CA2"/>
    <w:rsid w:val="1A984567"/>
    <w:rsid w:val="1B0F3ACC"/>
    <w:rsid w:val="1B464EC4"/>
    <w:rsid w:val="1B685A6C"/>
    <w:rsid w:val="1B7C21B5"/>
    <w:rsid w:val="1B7E38E5"/>
    <w:rsid w:val="1BC009D9"/>
    <w:rsid w:val="1BFF106F"/>
    <w:rsid w:val="1C0312AF"/>
    <w:rsid w:val="1C091B0F"/>
    <w:rsid w:val="1C1740F2"/>
    <w:rsid w:val="1C1C22DF"/>
    <w:rsid w:val="1C515DCC"/>
    <w:rsid w:val="1C536F45"/>
    <w:rsid w:val="1C8B724B"/>
    <w:rsid w:val="1CB31BCF"/>
    <w:rsid w:val="1CBD2FD1"/>
    <w:rsid w:val="1D045EBC"/>
    <w:rsid w:val="1D67363A"/>
    <w:rsid w:val="1D9C2EE1"/>
    <w:rsid w:val="1DE87EA9"/>
    <w:rsid w:val="1DEC7215"/>
    <w:rsid w:val="1E191700"/>
    <w:rsid w:val="1E3E43C2"/>
    <w:rsid w:val="1E5B1AB6"/>
    <w:rsid w:val="1E69277C"/>
    <w:rsid w:val="1E7279EF"/>
    <w:rsid w:val="1E8D0BA1"/>
    <w:rsid w:val="1E930492"/>
    <w:rsid w:val="1EEC350F"/>
    <w:rsid w:val="1F0D10B0"/>
    <w:rsid w:val="1F7A6AA0"/>
    <w:rsid w:val="1FFA581D"/>
    <w:rsid w:val="20102F75"/>
    <w:rsid w:val="201F26A2"/>
    <w:rsid w:val="204829A5"/>
    <w:rsid w:val="204B1FEE"/>
    <w:rsid w:val="20634606"/>
    <w:rsid w:val="208740D7"/>
    <w:rsid w:val="20896719"/>
    <w:rsid w:val="20E44FA6"/>
    <w:rsid w:val="21096350"/>
    <w:rsid w:val="210E0C86"/>
    <w:rsid w:val="21104CB6"/>
    <w:rsid w:val="2168592F"/>
    <w:rsid w:val="21712771"/>
    <w:rsid w:val="217A68E2"/>
    <w:rsid w:val="218A7C87"/>
    <w:rsid w:val="218E1D54"/>
    <w:rsid w:val="219502FE"/>
    <w:rsid w:val="21957B10"/>
    <w:rsid w:val="2212540D"/>
    <w:rsid w:val="22F02F0B"/>
    <w:rsid w:val="23077D71"/>
    <w:rsid w:val="23675A35"/>
    <w:rsid w:val="236D57E9"/>
    <w:rsid w:val="23723E98"/>
    <w:rsid w:val="239575CE"/>
    <w:rsid w:val="23AC71B8"/>
    <w:rsid w:val="23AF39F4"/>
    <w:rsid w:val="23B813F7"/>
    <w:rsid w:val="23BF5920"/>
    <w:rsid w:val="23C81181"/>
    <w:rsid w:val="2442703F"/>
    <w:rsid w:val="2493685A"/>
    <w:rsid w:val="24D924EC"/>
    <w:rsid w:val="24E03B03"/>
    <w:rsid w:val="24F62E7F"/>
    <w:rsid w:val="2503251E"/>
    <w:rsid w:val="2504406A"/>
    <w:rsid w:val="25090920"/>
    <w:rsid w:val="258E69B2"/>
    <w:rsid w:val="259F5471"/>
    <w:rsid w:val="25A71D9A"/>
    <w:rsid w:val="25A739B4"/>
    <w:rsid w:val="25BF5727"/>
    <w:rsid w:val="25E84019"/>
    <w:rsid w:val="25FA6C20"/>
    <w:rsid w:val="2615278D"/>
    <w:rsid w:val="261822E2"/>
    <w:rsid w:val="2657210F"/>
    <w:rsid w:val="266357A1"/>
    <w:rsid w:val="26C92F24"/>
    <w:rsid w:val="26E10ABD"/>
    <w:rsid w:val="27084B66"/>
    <w:rsid w:val="27382ED1"/>
    <w:rsid w:val="27594D3F"/>
    <w:rsid w:val="275F12D3"/>
    <w:rsid w:val="277D2CFC"/>
    <w:rsid w:val="279B4CE0"/>
    <w:rsid w:val="27A103A7"/>
    <w:rsid w:val="27A659B4"/>
    <w:rsid w:val="27C6195A"/>
    <w:rsid w:val="27E73949"/>
    <w:rsid w:val="27F26D80"/>
    <w:rsid w:val="27F31E06"/>
    <w:rsid w:val="27FD0F12"/>
    <w:rsid w:val="27FD2B5E"/>
    <w:rsid w:val="27FF6E19"/>
    <w:rsid w:val="28207A08"/>
    <w:rsid w:val="282D0386"/>
    <w:rsid w:val="28351003"/>
    <w:rsid w:val="283B726D"/>
    <w:rsid w:val="28565630"/>
    <w:rsid w:val="286305F9"/>
    <w:rsid w:val="287C2B02"/>
    <w:rsid w:val="287E1756"/>
    <w:rsid w:val="288276E8"/>
    <w:rsid w:val="2895183F"/>
    <w:rsid w:val="28DF0556"/>
    <w:rsid w:val="28EA75AE"/>
    <w:rsid w:val="291D307B"/>
    <w:rsid w:val="296F238E"/>
    <w:rsid w:val="29D35B61"/>
    <w:rsid w:val="29E928FC"/>
    <w:rsid w:val="29ED5325"/>
    <w:rsid w:val="29FE306C"/>
    <w:rsid w:val="2A076637"/>
    <w:rsid w:val="2A1271A3"/>
    <w:rsid w:val="2A2C239C"/>
    <w:rsid w:val="2A76015A"/>
    <w:rsid w:val="2A8A4A67"/>
    <w:rsid w:val="2AA17F51"/>
    <w:rsid w:val="2AAB7C8B"/>
    <w:rsid w:val="2ADD64EA"/>
    <w:rsid w:val="2B003910"/>
    <w:rsid w:val="2B4C130D"/>
    <w:rsid w:val="2B94225C"/>
    <w:rsid w:val="2BA113E9"/>
    <w:rsid w:val="2BB27517"/>
    <w:rsid w:val="2BB30725"/>
    <w:rsid w:val="2BBE1EF8"/>
    <w:rsid w:val="2BC84A70"/>
    <w:rsid w:val="2C0D06D6"/>
    <w:rsid w:val="2C1D149E"/>
    <w:rsid w:val="2C3931BE"/>
    <w:rsid w:val="2C641D81"/>
    <w:rsid w:val="2C9C0472"/>
    <w:rsid w:val="2CAF1830"/>
    <w:rsid w:val="2CEB15DF"/>
    <w:rsid w:val="2D1D3CAB"/>
    <w:rsid w:val="2D3E6140"/>
    <w:rsid w:val="2D5E02C6"/>
    <w:rsid w:val="2D944EBD"/>
    <w:rsid w:val="2DA171F2"/>
    <w:rsid w:val="2DE66312"/>
    <w:rsid w:val="2E057C0F"/>
    <w:rsid w:val="2E13105C"/>
    <w:rsid w:val="2E720FB6"/>
    <w:rsid w:val="2E727F5B"/>
    <w:rsid w:val="2EB12B8F"/>
    <w:rsid w:val="2EC43C5B"/>
    <w:rsid w:val="2EC63FC7"/>
    <w:rsid w:val="2EF96814"/>
    <w:rsid w:val="2F075979"/>
    <w:rsid w:val="2F5001F2"/>
    <w:rsid w:val="2F6B1674"/>
    <w:rsid w:val="2F7415FD"/>
    <w:rsid w:val="2F7B1B5C"/>
    <w:rsid w:val="2F9974F0"/>
    <w:rsid w:val="2FF6206C"/>
    <w:rsid w:val="300347FA"/>
    <w:rsid w:val="301D3CF2"/>
    <w:rsid w:val="302561E7"/>
    <w:rsid w:val="304F7FDA"/>
    <w:rsid w:val="305F748D"/>
    <w:rsid w:val="30736A8B"/>
    <w:rsid w:val="307B12EC"/>
    <w:rsid w:val="30BA68CD"/>
    <w:rsid w:val="30C12C18"/>
    <w:rsid w:val="30FE01C8"/>
    <w:rsid w:val="31744C25"/>
    <w:rsid w:val="31A13AE7"/>
    <w:rsid w:val="31AA10E9"/>
    <w:rsid w:val="31B52E31"/>
    <w:rsid w:val="31D81F30"/>
    <w:rsid w:val="32180C3D"/>
    <w:rsid w:val="325F6A78"/>
    <w:rsid w:val="32817B9B"/>
    <w:rsid w:val="332248C9"/>
    <w:rsid w:val="33234093"/>
    <w:rsid w:val="33240C66"/>
    <w:rsid w:val="33520633"/>
    <w:rsid w:val="33B26F23"/>
    <w:rsid w:val="33D731F2"/>
    <w:rsid w:val="33F529D9"/>
    <w:rsid w:val="34027D25"/>
    <w:rsid w:val="343E44AA"/>
    <w:rsid w:val="34906361"/>
    <w:rsid w:val="34CC4AF9"/>
    <w:rsid w:val="34D20AD2"/>
    <w:rsid w:val="34D612B8"/>
    <w:rsid w:val="34EA4594"/>
    <w:rsid w:val="351D55B7"/>
    <w:rsid w:val="352D3BDF"/>
    <w:rsid w:val="353E630E"/>
    <w:rsid w:val="354F0D05"/>
    <w:rsid w:val="354F6D38"/>
    <w:rsid w:val="35786A35"/>
    <w:rsid w:val="35791BB5"/>
    <w:rsid w:val="35F42C79"/>
    <w:rsid w:val="35F63483"/>
    <w:rsid w:val="363678F5"/>
    <w:rsid w:val="3676274F"/>
    <w:rsid w:val="367A259F"/>
    <w:rsid w:val="36AE10A7"/>
    <w:rsid w:val="36BA74A9"/>
    <w:rsid w:val="36D54870"/>
    <w:rsid w:val="373D19A7"/>
    <w:rsid w:val="37460EEB"/>
    <w:rsid w:val="374A2A85"/>
    <w:rsid w:val="37544C42"/>
    <w:rsid w:val="375B15E5"/>
    <w:rsid w:val="376869A6"/>
    <w:rsid w:val="37972859"/>
    <w:rsid w:val="37A932DC"/>
    <w:rsid w:val="37D64B2B"/>
    <w:rsid w:val="37DD63C3"/>
    <w:rsid w:val="37FC4A73"/>
    <w:rsid w:val="3805772D"/>
    <w:rsid w:val="382920CC"/>
    <w:rsid w:val="38674956"/>
    <w:rsid w:val="386878E8"/>
    <w:rsid w:val="386A177F"/>
    <w:rsid w:val="387639FC"/>
    <w:rsid w:val="38977C5C"/>
    <w:rsid w:val="38F34816"/>
    <w:rsid w:val="390D1723"/>
    <w:rsid w:val="391C6DD9"/>
    <w:rsid w:val="394B2118"/>
    <w:rsid w:val="39527C8C"/>
    <w:rsid w:val="398228D0"/>
    <w:rsid w:val="39B532D5"/>
    <w:rsid w:val="39B836B6"/>
    <w:rsid w:val="3A0461E4"/>
    <w:rsid w:val="3A084DB7"/>
    <w:rsid w:val="3A0A38C5"/>
    <w:rsid w:val="3A0A59EE"/>
    <w:rsid w:val="3A23740C"/>
    <w:rsid w:val="3A9B6496"/>
    <w:rsid w:val="3AB84DE3"/>
    <w:rsid w:val="3AE156CD"/>
    <w:rsid w:val="3AED1050"/>
    <w:rsid w:val="3B0803BA"/>
    <w:rsid w:val="3B0C0A1C"/>
    <w:rsid w:val="3B54079B"/>
    <w:rsid w:val="3B5D00FE"/>
    <w:rsid w:val="3B6B264B"/>
    <w:rsid w:val="3B795035"/>
    <w:rsid w:val="3B85721B"/>
    <w:rsid w:val="3BB71AA7"/>
    <w:rsid w:val="3BBF448A"/>
    <w:rsid w:val="3BC61FA5"/>
    <w:rsid w:val="3BD00158"/>
    <w:rsid w:val="3BD60B23"/>
    <w:rsid w:val="3BF54E02"/>
    <w:rsid w:val="3C122A2F"/>
    <w:rsid w:val="3C737F65"/>
    <w:rsid w:val="3C910610"/>
    <w:rsid w:val="3CE11D27"/>
    <w:rsid w:val="3CE92E72"/>
    <w:rsid w:val="3CF73690"/>
    <w:rsid w:val="3D190518"/>
    <w:rsid w:val="3D3C0802"/>
    <w:rsid w:val="3D657299"/>
    <w:rsid w:val="3D725C49"/>
    <w:rsid w:val="3E066DB7"/>
    <w:rsid w:val="3E0B4928"/>
    <w:rsid w:val="3E1814CB"/>
    <w:rsid w:val="3E304569"/>
    <w:rsid w:val="3E351671"/>
    <w:rsid w:val="3E54289B"/>
    <w:rsid w:val="3E655A08"/>
    <w:rsid w:val="3E7149F0"/>
    <w:rsid w:val="3E7211E2"/>
    <w:rsid w:val="3EC112E7"/>
    <w:rsid w:val="3EF77111"/>
    <w:rsid w:val="3F4A3EF7"/>
    <w:rsid w:val="3F547D09"/>
    <w:rsid w:val="3F7A4B5D"/>
    <w:rsid w:val="3F824F07"/>
    <w:rsid w:val="3FDF44E2"/>
    <w:rsid w:val="405B43EF"/>
    <w:rsid w:val="40630BBE"/>
    <w:rsid w:val="407E5FE2"/>
    <w:rsid w:val="40B528A8"/>
    <w:rsid w:val="40ED54D4"/>
    <w:rsid w:val="41083595"/>
    <w:rsid w:val="418C45E3"/>
    <w:rsid w:val="41AE03DA"/>
    <w:rsid w:val="41D379F5"/>
    <w:rsid w:val="41E561EC"/>
    <w:rsid w:val="41ED2E91"/>
    <w:rsid w:val="41F85804"/>
    <w:rsid w:val="423D5130"/>
    <w:rsid w:val="4265085A"/>
    <w:rsid w:val="4268589B"/>
    <w:rsid w:val="426D55FD"/>
    <w:rsid w:val="427D20F8"/>
    <w:rsid w:val="427E5523"/>
    <w:rsid w:val="428452AC"/>
    <w:rsid w:val="42B42125"/>
    <w:rsid w:val="42C77153"/>
    <w:rsid w:val="42CD14A8"/>
    <w:rsid w:val="42F40160"/>
    <w:rsid w:val="42F63EFA"/>
    <w:rsid w:val="42F7599B"/>
    <w:rsid w:val="43113965"/>
    <w:rsid w:val="431A0EBB"/>
    <w:rsid w:val="432525FC"/>
    <w:rsid w:val="432B0857"/>
    <w:rsid w:val="43332025"/>
    <w:rsid w:val="434745FC"/>
    <w:rsid w:val="43474BF9"/>
    <w:rsid w:val="43683D80"/>
    <w:rsid w:val="437B24A4"/>
    <w:rsid w:val="438F03FD"/>
    <w:rsid w:val="43913A43"/>
    <w:rsid w:val="43EF15E0"/>
    <w:rsid w:val="43F52C74"/>
    <w:rsid w:val="442337F7"/>
    <w:rsid w:val="44452143"/>
    <w:rsid w:val="445B1AFC"/>
    <w:rsid w:val="445E509B"/>
    <w:rsid w:val="445F7D8B"/>
    <w:rsid w:val="448107C1"/>
    <w:rsid w:val="44D20CF0"/>
    <w:rsid w:val="451A4CE2"/>
    <w:rsid w:val="4574459F"/>
    <w:rsid w:val="45A60BCA"/>
    <w:rsid w:val="45A94847"/>
    <w:rsid w:val="45D24562"/>
    <w:rsid w:val="45E76415"/>
    <w:rsid w:val="45FC3667"/>
    <w:rsid w:val="460651CB"/>
    <w:rsid w:val="460B12CC"/>
    <w:rsid w:val="460C3C07"/>
    <w:rsid w:val="462169F8"/>
    <w:rsid w:val="46AC6F22"/>
    <w:rsid w:val="46F13778"/>
    <w:rsid w:val="470010D1"/>
    <w:rsid w:val="47AA7C16"/>
    <w:rsid w:val="47C30145"/>
    <w:rsid w:val="47C84338"/>
    <w:rsid w:val="47D70345"/>
    <w:rsid w:val="482F42E8"/>
    <w:rsid w:val="484146C3"/>
    <w:rsid w:val="486031EA"/>
    <w:rsid w:val="48611A9D"/>
    <w:rsid w:val="48B271C9"/>
    <w:rsid w:val="48CD533D"/>
    <w:rsid w:val="48DF5EB0"/>
    <w:rsid w:val="48FA3342"/>
    <w:rsid w:val="49085B8A"/>
    <w:rsid w:val="4911085A"/>
    <w:rsid w:val="491D0755"/>
    <w:rsid w:val="49786F81"/>
    <w:rsid w:val="49856233"/>
    <w:rsid w:val="4997745C"/>
    <w:rsid w:val="49A56229"/>
    <w:rsid w:val="49B83CEB"/>
    <w:rsid w:val="49EA6FAC"/>
    <w:rsid w:val="4A250134"/>
    <w:rsid w:val="4A812420"/>
    <w:rsid w:val="4AA611C4"/>
    <w:rsid w:val="4ABD61C5"/>
    <w:rsid w:val="4AD80AC9"/>
    <w:rsid w:val="4AFD2B9A"/>
    <w:rsid w:val="4B022E44"/>
    <w:rsid w:val="4B2652CC"/>
    <w:rsid w:val="4B680E19"/>
    <w:rsid w:val="4B946EA7"/>
    <w:rsid w:val="4BD47FBD"/>
    <w:rsid w:val="4BE35B64"/>
    <w:rsid w:val="4C2E10F8"/>
    <w:rsid w:val="4C42646B"/>
    <w:rsid w:val="4C565733"/>
    <w:rsid w:val="4C5A455D"/>
    <w:rsid w:val="4CD953E1"/>
    <w:rsid w:val="4CE14248"/>
    <w:rsid w:val="4D104D52"/>
    <w:rsid w:val="4D240C02"/>
    <w:rsid w:val="4D27189B"/>
    <w:rsid w:val="4D5A4036"/>
    <w:rsid w:val="4D5D35B2"/>
    <w:rsid w:val="4D9A1C04"/>
    <w:rsid w:val="4DA66B3C"/>
    <w:rsid w:val="4DB92843"/>
    <w:rsid w:val="4DD24522"/>
    <w:rsid w:val="4DD460BC"/>
    <w:rsid w:val="4DE334B1"/>
    <w:rsid w:val="4DE920C6"/>
    <w:rsid w:val="4E1D19EC"/>
    <w:rsid w:val="4E850A18"/>
    <w:rsid w:val="4E8D6504"/>
    <w:rsid w:val="4EBE3730"/>
    <w:rsid w:val="4F3322E6"/>
    <w:rsid w:val="4F59623C"/>
    <w:rsid w:val="4F6315DD"/>
    <w:rsid w:val="4F9B0D43"/>
    <w:rsid w:val="4FB05BC4"/>
    <w:rsid w:val="4FC12078"/>
    <w:rsid w:val="4FC64C04"/>
    <w:rsid w:val="4FD65262"/>
    <w:rsid w:val="4FE66877"/>
    <w:rsid w:val="4FFB760E"/>
    <w:rsid w:val="50170340"/>
    <w:rsid w:val="501C7C3B"/>
    <w:rsid w:val="5021166A"/>
    <w:rsid w:val="5032623B"/>
    <w:rsid w:val="50410E97"/>
    <w:rsid w:val="504D4C36"/>
    <w:rsid w:val="50571BFA"/>
    <w:rsid w:val="506940E3"/>
    <w:rsid w:val="506D1576"/>
    <w:rsid w:val="50765515"/>
    <w:rsid w:val="50AA13AD"/>
    <w:rsid w:val="50AC6C96"/>
    <w:rsid w:val="50C11947"/>
    <w:rsid w:val="51002503"/>
    <w:rsid w:val="51105872"/>
    <w:rsid w:val="51217A2C"/>
    <w:rsid w:val="513E08BE"/>
    <w:rsid w:val="514B5B27"/>
    <w:rsid w:val="51502945"/>
    <w:rsid w:val="519A4E55"/>
    <w:rsid w:val="51A566B9"/>
    <w:rsid w:val="51A62EA2"/>
    <w:rsid w:val="51B728D2"/>
    <w:rsid w:val="51C40DF6"/>
    <w:rsid w:val="51CD78F5"/>
    <w:rsid w:val="51F373DE"/>
    <w:rsid w:val="51FD6F70"/>
    <w:rsid w:val="52355850"/>
    <w:rsid w:val="5235598A"/>
    <w:rsid w:val="52496EAB"/>
    <w:rsid w:val="52532DCF"/>
    <w:rsid w:val="52A36FF3"/>
    <w:rsid w:val="52B84C1D"/>
    <w:rsid w:val="52EE39D3"/>
    <w:rsid w:val="535116E8"/>
    <w:rsid w:val="5364739E"/>
    <w:rsid w:val="53B54889"/>
    <w:rsid w:val="53CD63A4"/>
    <w:rsid w:val="542353BB"/>
    <w:rsid w:val="545E6A7A"/>
    <w:rsid w:val="546845E9"/>
    <w:rsid w:val="549B6314"/>
    <w:rsid w:val="54E506D8"/>
    <w:rsid w:val="54E64189"/>
    <w:rsid w:val="55141845"/>
    <w:rsid w:val="553D3E12"/>
    <w:rsid w:val="557C641B"/>
    <w:rsid w:val="557C7663"/>
    <w:rsid w:val="55FC638F"/>
    <w:rsid w:val="564123AA"/>
    <w:rsid w:val="56484B8F"/>
    <w:rsid w:val="566C4C6F"/>
    <w:rsid w:val="5683393A"/>
    <w:rsid w:val="56B25333"/>
    <w:rsid w:val="56BB1E89"/>
    <w:rsid w:val="56DC4BDB"/>
    <w:rsid w:val="57086F6E"/>
    <w:rsid w:val="57281D5E"/>
    <w:rsid w:val="57375464"/>
    <w:rsid w:val="574E2004"/>
    <w:rsid w:val="57522184"/>
    <w:rsid w:val="575D471E"/>
    <w:rsid w:val="5765356C"/>
    <w:rsid w:val="577D09EC"/>
    <w:rsid w:val="57860650"/>
    <w:rsid w:val="578D4291"/>
    <w:rsid w:val="579C11DF"/>
    <w:rsid w:val="579D7D70"/>
    <w:rsid w:val="579F1FBA"/>
    <w:rsid w:val="57AA56A8"/>
    <w:rsid w:val="57CB4069"/>
    <w:rsid w:val="581909B4"/>
    <w:rsid w:val="582D5417"/>
    <w:rsid w:val="5831784E"/>
    <w:rsid w:val="58531229"/>
    <w:rsid w:val="58F213BE"/>
    <w:rsid w:val="59112869"/>
    <w:rsid w:val="591631BC"/>
    <w:rsid w:val="59187236"/>
    <w:rsid w:val="591F42B6"/>
    <w:rsid w:val="595E61A9"/>
    <w:rsid w:val="599614E5"/>
    <w:rsid w:val="59AE6891"/>
    <w:rsid w:val="59E03C3F"/>
    <w:rsid w:val="59FE54E2"/>
    <w:rsid w:val="5A153CDC"/>
    <w:rsid w:val="5A3046A8"/>
    <w:rsid w:val="5A580A87"/>
    <w:rsid w:val="5A5B3BDF"/>
    <w:rsid w:val="5A917D97"/>
    <w:rsid w:val="5AA84E2A"/>
    <w:rsid w:val="5AAA4BBB"/>
    <w:rsid w:val="5AC27251"/>
    <w:rsid w:val="5B1E0F36"/>
    <w:rsid w:val="5B311C82"/>
    <w:rsid w:val="5B3D2B78"/>
    <w:rsid w:val="5B891E8F"/>
    <w:rsid w:val="5BE438D9"/>
    <w:rsid w:val="5C0E7A9C"/>
    <w:rsid w:val="5C1127BB"/>
    <w:rsid w:val="5C391058"/>
    <w:rsid w:val="5C3977CB"/>
    <w:rsid w:val="5C726F37"/>
    <w:rsid w:val="5C972B39"/>
    <w:rsid w:val="5C9A419A"/>
    <w:rsid w:val="5C9D6AB0"/>
    <w:rsid w:val="5CB64CA6"/>
    <w:rsid w:val="5CDD4A7B"/>
    <w:rsid w:val="5D1318DC"/>
    <w:rsid w:val="5D364C46"/>
    <w:rsid w:val="5D502FC7"/>
    <w:rsid w:val="5D61483D"/>
    <w:rsid w:val="5D6C113F"/>
    <w:rsid w:val="5D926B2D"/>
    <w:rsid w:val="5D9B3962"/>
    <w:rsid w:val="5DA30A93"/>
    <w:rsid w:val="5DAF1F2F"/>
    <w:rsid w:val="5DB15EEE"/>
    <w:rsid w:val="5DB17E8B"/>
    <w:rsid w:val="5DB758ED"/>
    <w:rsid w:val="5DD0322D"/>
    <w:rsid w:val="5DEA5547"/>
    <w:rsid w:val="5E2109C8"/>
    <w:rsid w:val="5E34409D"/>
    <w:rsid w:val="5E3A6AD5"/>
    <w:rsid w:val="5E6E7A0C"/>
    <w:rsid w:val="5E987FE9"/>
    <w:rsid w:val="5EE71BAD"/>
    <w:rsid w:val="5F605B5A"/>
    <w:rsid w:val="5FCF5F04"/>
    <w:rsid w:val="60612681"/>
    <w:rsid w:val="60A22E07"/>
    <w:rsid w:val="60D91AA2"/>
    <w:rsid w:val="6114622F"/>
    <w:rsid w:val="612F27BE"/>
    <w:rsid w:val="615C2054"/>
    <w:rsid w:val="619E3153"/>
    <w:rsid w:val="61A96761"/>
    <w:rsid w:val="61D83262"/>
    <w:rsid w:val="62426AF9"/>
    <w:rsid w:val="624E2073"/>
    <w:rsid w:val="62740BD8"/>
    <w:rsid w:val="62BB0256"/>
    <w:rsid w:val="62D1144B"/>
    <w:rsid w:val="633E302A"/>
    <w:rsid w:val="634C0A4A"/>
    <w:rsid w:val="6359531D"/>
    <w:rsid w:val="6370164B"/>
    <w:rsid w:val="63BC4F11"/>
    <w:rsid w:val="63E05F98"/>
    <w:rsid w:val="63E5267B"/>
    <w:rsid w:val="63F4695B"/>
    <w:rsid w:val="63FC0AEE"/>
    <w:rsid w:val="6411075A"/>
    <w:rsid w:val="641B0364"/>
    <w:rsid w:val="64284493"/>
    <w:rsid w:val="642A216E"/>
    <w:rsid w:val="64390FB9"/>
    <w:rsid w:val="64620B78"/>
    <w:rsid w:val="646223FE"/>
    <w:rsid w:val="647D0679"/>
    <w:rsid w:val="64C842AD"/>
    <w:rsid w:val="64C87664"/>
    <w:rsid w:val="650F46AC"/>
    <w:rsid w:val="65162A04"/>
    <w:rsid w:val="65E1776D"/>
    <w:rsid w:val="65E72B9F"/>
    <w:rsid w:val="65F37263"/>
    <w:rsid w:val="66127EAE"/>
    <w:rsid w:val="6628415E"/>
    <w:rsid w:val="66595EF6"/>
    <w:rsid w:val="66815E16"/>
    <w:rsid w:val="6688744C"/>
    <w:rsid w:val="66D25B59"/>
    <w:rsid w:val="671C669C"/>
    <w:rsid w:val="67317ACF"/>
    <w:rsid w:val="673C2826"/>
    <w:rsid w:val="675747C8"/>
    <w:rsid w:val="67717038"/>
    <w:rsid w:val="67783368"/>
    <w:rsid w:val="67B8535E"/>
    <w:rsid w:val="67D5506B"/>
    <w:rsid w:val="68254296"/>
    <w:rsid w:val="685E23A1"/>
    <w:rsid w:val="68611146"/>
    <w:rsid w:val="690A2DC3"/>
    <w:rsid w:val="691A653A"/>
    <w:rsid w:val="695D4FC8"/>
    <w:rsid w:val="69A77700"/>
    <w:rsid w:val="69EC28B9"/>
    <w:rsid w:val="69ED10F1"/>
    <w:rsid w:val="6A276F5C"/>
    <w:rsid w:val="6A3D794D"/>
    <w:rsid w:val="6A5C678B"/>
    <w:rsid w:val="6A7F29EE"/>
    <w:rsid w:val="6AAD07B9"/>
    <w:rsid w:val="6AF13AA0"/>
    <w:rsid w:val="6B1B0B55"/>
    <w:rsid w:val="6B2C652F"/>
    <w:rsid w:val="6B4055DC"/>
    <w:rsid w:val="6B440165"/>
    <w:rsid w:val="6B750F4A"/>
    <w:rsid w:val="6B83482F"/>
    <w:rsid w:val="6B884C11"/>
    <w:rsid w:val="6BD13BC0"/>
    <w:rsid w:val="6C726F3A"/>
    <w:rsid w:val="6C846480"/>
    <w:rsid w:val="6CAE7D07"/>
    <w:rsid w:val="6CEB385D"/>
    <w:rsid w:val="6CEF5D55"/>
    <w:rsid w:val="6D083212"/>
    <w:rsid w:val="6D0F63DC"/>
    <w:rsid w:val="6D59755F"/>
    <w:rsid w:val="6DD503B9"/>
    <w:rsid w:val="6E0F02F5"/>
    <w:rsid w:val="6E124BC2"/>
    <w:rsid w:val="6E3B1FBA"/>
    <w:rsid w:val="6E737894"/>
    <w:rsid w:val="6EAA6AA1"/>
    <w:rsid w:val="6F1158D8"/>
    <w:rsid w:val="6F3A4461"/>
    <w:rsid w:val="6F3F0932"/>
    <w:rsid w:val="6F5B1D95"/>
    <w:rsid w:val="6F5F0DED"/>
    <w:rsid w:val="6F607EC8"/>
    <w:rsid w:val="6F7C5DA1"/>
    <w:rsid w:val="6FA16C71"/>
    <w:rsid w:val="6FD122D4"/>
    <w:rsid w:val="70026C8A"/>
    <w:rsid w:val="70080979"/>
    <w:rsid w:val="70387B3C"/>
    <w:rsid w:val="704A1217"/>
    <w:rsid w:val="70592977"/>
    <w:rsid w:val="706B025C"/>
    <w:rsid w:val="70824997"/>
    <w:rsid w:val="70F65078"/>
    <w:rsid w:val="71185358"/>
    <w:rsid w:val="715807BA"/>
    <w:rsid w:val="71986A9D"/>
    <w:rsid w:val="71C569EA"/>
    <w:rsid w:val="723F2BDB"/>
    <w:rsid w:val="72567F20"/>
    <w:rsid w:val="726125A3"/>
    <w:rsid w:val="72E4332B"/>
    <w:rsid w:val="73433D87"/>
    <w:rsid w:val="734A5880"/>
    <w:rsid w:val="73700463"/>
    <w:rsid w:val="73CC129C"/>
    <w:rsid w:val="73EC4E5C"/>
    <w:rsid w:val="73FB1AB4"/>
    <w:rsid w:val="7409732F"/>
    <w:rsid w:val="742B7D74"/>
    <w:rsid w:val="74670E42"/>
    <w:rsid w:val="7469377C"/>
    <w:rsid w:val="74DB74DD"/>
    <w:rsid w:val="75087880"/>
    <w:rsid w:val="752B1BC9"/>
    <w:rsid w:val="756950A5"/>
    <w:rsid w:val="756B7F0E"/>
    <w:rsid w:val="75990695"/>
    <w:rsid w:val="75DF7CE9"/>
    <w:rsid w:val="760C2E6D"/>
    <w:rsid w:val="763F2FBC"/>
    <w:rsid w:val="76D219E9"/>
    <w:rsid w:val="76F01260"/>
    <w:rsid w:val="76F877CD"/>
    <w:rsid w:val="77636DBF"/>
    <w:rsid w:val="779F1958"/>
    <w:rsid w:val="77AC0084"/>
    <w:rsid w:val="77BF147C"/>
    <w:rsid w:val="77E76E72"/>
    <w:rsid w:val="77F31213"/>
    <w:rsid w:val="782C3DB5"/>
    <w:rsid w:val="78493DCB"/>
    <w:rsid w:val="786B5D14"/>
    <w:rsid w:val="78832C1C"/>
    <w:rsid w:val="78853C53"/>
    <w:rsid w:val="78C53EF0"/>
    <w:rsid w:val="78E21142"/>
    <w:rsid w:val="790E2088"/>
    <w:rsid w:val="79316C67"/>
    <w:rsid w:val="79750EFD"/>
    <w:rsid w:val="79895F05"/>
    <w:rsid w:val="79901CF9"/>
    <w:rsid w:val="79983072"/>
    <w:rsid w:val="79B75871"/>
    <w:rsid w:val="79F2767E"/>
    <w:rsid w:val="7AA362DF"/>
    <w:rsid w:val="7AA52EEB"/>
    <w:rsid w:val="7AC33227"/>
    <w:rsid w:val="7ADF3AD7"/>
    <w:rsid w:val="7B314FE4"/>
    <w:rsid w:val="7B7433FF"/>
    <w:rsid w:val="7BAD02F7"/>
    <w:rsid w:val="7BBF4C6A"/>
    <w:rsid w:val="7BFA0BDE"/>
    <w:rsid w:val="7C0505B4"/>
    <w:rsid w:val="7C0772CF"/>
    <w:rsid w:val="7C804253"/>
    <w:rsid w:val="7C851B8F"/>
    <w:rsid w:val="7CAE78E3"/>
    <w:rsid w:val="7CCE55DC"/>
    <w:rsid w:val="7CF31C63"/>
    <w:rsid w:val="7D0666DA"/>
    <w:rsid w:val="7D2C5B98"/>
    <w:rsid w:val="7D9668E6"/>
    <w:rsid w:val="7DA42DBE"/>
    <w:rsid w:val="7DA7733F"/>
    <w:rsid w:val="7DBD0F33"/>
    <w:rsid w:val="7DC60E4D"/>
    <w:rsid w:val="7DCA0858"/>
    <w:rsid w:val="7DCB1569"/>
    <w:rsid w:val="7DE0387F"/>
    <w:rsid w:val="7E11049B"/>
    <w:rsid w:val="7E136947"/>
    <w:rsid w:val="7E575E86"/>
    <w:rsid w:val="7E6D5A96"/>
    <w:rsid w:val="7E893A14"/>
    <w:rsid w:val="7E957791"/>
    <w:rsid w:val="7EBD2B93"/>
    <w:rsid w:val="7EC413E9"/>
    <w:rsid w:val="7F670F37"/>
    <w:rsid w:val="7FBC26F7"/>
    <w:rsid w:val="7FCE12DD"/>
    <w:rsid w:val="7FF06E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iPriority="9" w:semiHidden="0" w:name="heading 3" w:locked="1"/>
    <w:lsdException w:qFormat="1" w:uiPriority="9" w:semiHidden="0" w:name="heading 4" w:locked="1"/>
    <w:lsdException w:qFormat="1" w:uiPriority="9" w:semiHidden="0"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semiHidden="0"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ocked="1"/>
    <w:lsdException w:qFormat="1" w:unhideWhenUsed="0" w:uiPriority="99" w:name="footnote text"/>
    <w:lsdException w:qFormat="1" w:uiPriority="99" w:semiHidden="0" w:name="annotation text" w:locked="1"/>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35"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iPriority="99" w:semiHidden="0"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uiPriority="1" w:name="Default Paragraph Font"/>
    <w:lsdException w:qFormat="1" w:unhideWhenUsed="0" w:uiPriority="1"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firstLineChars="200"/>
    </w:pPr>
    <w:rPr>
      <w:rFonts w:ascii="Times New Roman" w:hAnsi="Times New Roman" w:eastAsia="宋体" w:cs="Times New Roman"/>
      <w:kern w:val="2"/>
      <w:sz w:val="21"/>
      <w:szCs w:val="21"/>
      <w:lang w:val="en-US" w:eastAsia="zh-CN" w:bidi="ar-SA"/>
    </w:rPr>
  </w:style>
  <w:style w:type="paragraph" w:styleId="2">
    <w:name w:val="heading 1"/>
    <w:basedOn w:val="1"/>
    <w:next w:val="1"/>
    <w:link w:val="54"/>
    <w:qFormat/>
    <w:locked/>
    <w:uiPriority w:val="9"/>
    <w:pPr>
      <w:keepNext/>
      <w:keepLines/>
      <w:numPr>
        <w:ilvl w:val="0"/>
        <w:numId w:val="1"/>
      </w:numPr>
      <w:spacing w:beforeLines="50" w:afterLines="50"/>
      <w:jc w:val="center"/>
      <w:outlineLvl w:val="0"/>
    </w:pPr>
    <w:rPr>
      <w:b/>
      <w:bCs/>
      <w:kern w:val="44"/>
      <w:sz w:val="32"/>
      <w:szCs w:val="44"/>
    </w:rPr>
  </w:style>
  <w:style w:type="paragraph" w:styleId="3">
    <w:name w:val="heading 2"/>
    <w:basedOn w:val="1"/>
    <w:next w:val="1"/>
    <w:link w:val="55"/>
    <w:unhideWhenUsed/>
    <w:qFormat/>
    <w:locked/>
    <w:uiPriority w:val="9"/>
    <w:pPr>
      <w:keepNext/>
      <w:keepLines/>
      <w:numPr>
        <w:ilvl w:val="1"/>
        <w:numId w:val="1"/>
      </w:numPr>
      <w:spacing w:before="200" w:after="200"/>
      <w:ind w:left="0"/>
      <w:jc w:val="center"/>
      <w:outlineLvl w:val="1"/>
    </w:pPr>
    <w:rPr>
      <w:b/>
      <w:bCs/>
      <w:sz w:val="24"/>
      <w:szCs w:val="32"/>
    </w:rPr>
  </w:style>
  <w:style w:type="paragraph" w:styleId="4">
    <w:name w:val="heading 3"/>
    <w:basedOn w:val="1"/>
    <w:next w:val="1"/>
    <w:link w:val="83"/>
    <w:unhideWhenUsed/>
    <w:qFormat/>
    <w:locked/>
    <w:uiPriority w:val="9"/>
    <w:pPr>
      <w:keepNext/>
      <w:keepLines/>
      <w:numPr>
        <w:ilvl w:val="2"/>
        <w:numId w:val="1"/>
      </w:numPr>
      <w:tabs>
        <w:tab w:val="left" w:pos="0"/>
      </w:tabs>
      <w:ind w:firstLineChars="0"/>
      <w:outlineLvl w:val="2"/>
    </w:pPr>
    <w:rPr>
      <w:bCs/>
      <w:szCs w:val="32"/>
    </w:rPr>
  </w:style>
  <w:style w:type="paragraph" w:styleId="5">
    <w:name w:val="heading 4"/>
    <w:basedOn w:val="1"/>
    <w:next w:val="1"/>
    <w:link w:val="85"/>
    <w:unhideWhenUsed/>
    <w:qFormat/>
    <w:locked/>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86"/>
    <w:unhideWhenUsed/>
    <w:qFormat/>
    <w:locked/>
    <w:uiPriority w:val="9"/>
    <w:pPr>
      <w:keepNext/>
      <w:keepLines/>
      <w:spacing w:before="280" w:after="290" w:line="376" w:lineRule="atLeast"/>
      <w:outlineLvl w:val="4"/>
    </w:pPr>
    <w:rPr>
      <w:b/>
      <w:bCs/>
      <w:sz w:val="28"/>
      <w:szCs w:val="28"/>
    </w:rPr>
  </w:style>
  <w:style w:type="character" w:default="1" w:styleId="45">
    <w:name w:val="Default Paragraph Font"/>
    <w:semiHidden/>
    <w:unhideWhenUsed/>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qFormat/>
    <w:uiPriority w:val="39"/>
    <w:pPr>
      <w:tabs>
        <w:tab w:val="right" w:leader="dot" w:pos="9241"/>
      </w:tabs>
      <w:ind w:firstLine="500" w:firstLineChars="500"/>
    </w:pPr>
    <w:rPr>
      <w:rFonts w:ascii="宋体" w:cs="宋体"/>
    </w:rPr>
  </w:style>
  <w:style w:type="paragraph" w:styleId="8">
    <w:name w:val="index 8"/>
    <w:basedOn w:val="1"/>
    <w:next w:val="1"/>
    <w:qFormat/>
    <w:uiPriority w:val="99"/>
    <w:pPr>
      <w:ind w:left="1680" w:hanging="210"/>
    </w:pPr>
    <w:rPr>
      <w:rFonts w:ascii="Calibri" w:hAnsi="Calibri" w:cs="Calibri"/>
      <w:sz w:val="20"/>
      <w:szCs w:val="20"/>
    </w:rPr>
  </w:style>
  <w:style w:type="paragraph" w:styleId="9">
    <w:name w:val="Normal Indent"/>
    <w:basedOn w:val="1"/>
    <w:qFormat/>
    <w:locked/>
    <w:uiPriority w:val="0"/>
    <w:pPr>
      <w:adjustRightInd w:val="0"/>
      <w:spacing w:line="360" w:lineRule="atLeast"/>
      <w:textAlignment w:val="baseline"/>
    </w:pPr>
    <w:rPr>
      <w:kern w:val="0"/>
      <w:sz w:val="24"/>
      <w:szCs w:val="20"/>
    </w:rPr>
  </w:style>
  <w:style w:type="paragraph" w:styleId="10">
    <w:name w:val="caption"/>
    <w:basedOn w:val="1"/>
    <w:next w:val="1"/>
    <w:qFormat/>
    <w:uiPriority w:val="35"/>
    <w:pPr>
      <w:spacing w:before="152" w:after="160"/>
    </w:pPr>
    <w:rPr>
      <w:rFonts w:ascii="Arial" w:hAnsi="Arial" w:eastAsia="黑体" w:cs="Arial"/>
      <w:sz w:val="20"/>
      <w:szCs w:val="20"/>
    </w:rPr>
  </w:style>
  <w:style w:type="paragraph" w:styleId="11">
    <w:name w:val="index 5"/>
    <w:basedOn w:val="1"/>
    <w:next w:val="1"/>
    <w:semiHidden/>
    <w:qFormat/>
    <w:uiPriority w:val="99"/>
    <w:pPr>
      <w:ind w:left="1050" w:hanging="210"/>
    </w:pPr>
    <w:rPr>
      <w:rFonts w:ascii="Calibri" w:hAnsi="Calibri" w:cs="Calibri"/>
      <w:sz w:val="20"/>
      <w:szCs w:val="20"/>
    </w:rPr>
  </w:style>
  <w:style w:type="paragraph" w:styleId="12">
    <w:name w:val="Document Map"/>
    <w:basedOn w:val="1"/>
    <w:link w:val="56"/>
    <w:semiHidden/>
    <w:qFormat/>
    <w:uiPriority w:val="99"/>
    <w:pPr>
      <w:shd w:val="clear" w:color="auto" w:fill="000080"/>
    </w:pPr>
  </w:style>
  <w:style w:type="paragraph" w:styleId="13">
    <w:name w:val="annotation text"/>
    <w:basedOn w:val="1"/>
    <w:link w:val="64"/>
    <w:unhideWhenUsed/>
    <w:qFormat/>
    <w:locked/>
    <w:uiPriority w:val="99"/>
  </w:style>
  <w:style w:type="paragraph" w:styleId="14">
    <w:name w:val="index 6"/>
    <w:basedOn w:val="1"/>
    <w:next w:val="1"/>
    <w:semiHidden/>
    <w:qFormat/>
    <w:uiPriority w:val="99"/>
    <w:pPr>
      <w:ind w:left="1260" w:hanging="210"/>
    </w:pPr>
    <w:rPr>
      <w:rFonts w:ascii="Calibri" w:hAnsi="Calibri" w:cs="Calibri"/>
      <w:sz w:val="20"/>
      <w:szCs w:val="20"/>
    </w:rPr>
  </w:style>
  <w:style w:type="paragraph" w:styleId="15">
    <w:name w:val="Body Text"/>
    <w:basedOn w:val="1"/>
    <w:qFormat/>
    <w:locked/>
    <w:uiPriority w:val="1"/>
    <w:pPr>
      <w:spacing w:line="240" w:lineRule="auto"/>
      <w:jc w:val="both"/>
    </w:pPr>
    <w:rPr>
      <w:rFonts w:ascii="宋体" w:hAnsi="宋体" w:cs="宋体"/>
      <w:lang w:eastAsia="en-US" w:bidi="en-US"/>
    </w:rPr>
  </w:style>
  <w:style w:type="paragraph" w:styleId="16">
    <w:name w:val="index 4"/>
    <w:basedOn w:val="1"/>
    <w:next w:val="1"/>
    <w:semiHidden/>
    <w:qFormat/>
    <w:uiPriority w:val="99"/>
    <w:pPr>
      <w:ind w:left="840" w:hanging="210"/>
    </w:pPr>
    <w:rPr>
      <w:rFonts w:ascii="Calibri" w:hAnsi="Calibri" w:cs="Calibri"/>
      <w:sz w:val="20"/>
      <w:szCs w:val="20"/>
    </w:rPr>
  </w:style>
  <w:style w:type="paragraph" w:styleId="17">
    <w:name w:val="toc 5"/>
    <w:basedOn w:val="1"/>
    <w:next w:val="1"/>
    <w:qFormat/>
    <w:uiPriority w:val="39"/>
    <w:pPr>
      <w:tabs>
        <w:tab w:val="right" w:leader="dot" w:pos="9241"/>
      </w:tabs>
      <w:ind w:firstLine="300" w:firstLineChars="300"/>
    </w:pPr>
    <w:rPr>
      <w:rFonts w:ascii="宋体" w:cs="宋体"/>
    </w:rPr>
  </w:style>
  <w:style w:type="paragraph" w:styleId="18">
    <w:name w:val="toc 3"/>
    <w:basedOn w:val="1"/>
    <w:next w:val="1"/>
    <w:qFormat/>
    <w:uiPriority w:val="39"/>
    <w:pPr>
      <w:tabs>
        <w:tab w:val="right" w:leader="dot" w:pos="9241"/>
      </w:tabs>
      <w:ind w:firstLine="100" w:firstLineChars="100"/>
    </w:pPr>
    <w:rPr>
      <w:rFonts w:ascii="宋体" w:cs="宋体"/>
    </w:rPr>
  </w:style>
  <w:style w:type="paragraph" w:styleId="19">
    <w:name w:val="Plain Text"/>
    <w:basedOn w:val="1"/>
    <w:link w:val="70"/>
    <w:qFormat/>
    <w:locked/>
    <w:uiPriority w:val="0"/>
    <w:rPr>
      <w:rFonts w:ascii="宋体" w:hAnsi="Courier New"/>
      <w:szCs w:val="20"/>
    </w:rPr>
  </w:style>
  <w:style w:type="paragraph" w:styleId="20">
    <w:name w:val="toc 8"/>
    <w:basedOn w:val="1"/>
    <w:next w:val="1"/>
    <w:qFormat/>
    <w:uiPriority w:val="39"/>
    <w:pPr>
      <w:tabs>
        <w:tab w:val="right" w:leader="dot" w:pos="9241"/>
      </w:tabs>
      <w:ind w:firstLine="607" w:firstLineChars="600"/>
    </w:pPr>
    <w:rPr>
      <w:rFonts w:ascii="宋体" w:cs="宋体"/>
    </w:rPr>
  </w:style>
  <w:style w:type="paragraph" w:styleId="21">
    <w:name w:val="index 3"/>
    <w:basedOn w:val="1"/>
    <w:next w:val="1"/>
    <w:semiHidden/>
    <w:qFormat/>
    <w:uiPriority w:val="99"/>
    <w:pPr>
      <w:ind w:left="630" w:hanging="210"/>
    </w:pPr>
    <w:rPr>
      <w:rFonts w:ascii="Calibri" w:hAnsi="Calibri" w:cs="Calibri"/>
      <w:sz w:val="20"/>
      <w:szCs w:val="20"/>
    </w:rPr>
  </w:style>
  <w:style w:type="paragraph" w:styleId="22">
    <w:name w:val="Date"/>
    <w:basedOn w:val="1"/>
    <w:next w:val="1"/>
    <w:link w:val="66"/>
    <w:unhideWhenUsed/>
    <w:qFormat/>
    <w:locked/>
    <w:uiPriority w:val="99"/>
    <w:pPr>
      <w:ind w:left="100" w:leftChars="2500"/>
    </w:pPr>
  </w:style>
  <w:style w:type="paragraph" w:styleId="23">
    <w:name w:val="endnote text"/>
    <w:basedOn w:val="1"/>
    <w:link w:val="57"/>
    <w:semiHidden/>
    <w:qFormat/>
    <w:uiPriority w:val="99"/>
    <w:pPr>
      <w:snapToGrid w:val="0"/>
    </w:pPr>
  </w:style>
  <w:style w:type="paragraph" w:styleId="24">
    <w:name w:val="Balloon Text"/>
    <w:basedOn w:val="1"/>
    <w:link w:val="58"/>
    <w:semiHidden/>
    <w:qFormat/>
    <w:uiPriority w:val="99"/>
    <w:rPr>
      <w:sz w:val="18"/>
      <w:szCs w:val="18"/>
    </w:rPr>
  </w:style>
  <w:style w:type="paragraph" w:styleId="25">
    <w:name w:val="footer"/>
    <w:basedOn w:val="1"/>
    <w:link w:val="59"/>
    <w:qFormat/>
    <w:uiPriority w:val="99"/>
    <w:pPr>
      <w:snapToGrid w:val="0"/>
      <w:ind w:right="210" w:rightChars="100"/>
      <w:jc w:val="right"/>
    </w:pPr>
    <w:rPr>
      <w:sz w:val="18"/>
      <w:szCs w:val="18"/>
    </w:rPr>
  </w:style>
  <w:style w:type="paragraph" w:styleId="26">
    <w:name w:val="header"/>
    <w:basedOn w:val="1"/>
    <w:link w:val="60"/>
    <w:qFormat/>
    <w:uiPriority w:val="99"/>
    <w:pPr>
      <w:snapToGrid w:val="0"/>
    </w:pPr>
    <w:rPr>
      <w:sz w:val="18"/>
      <w:szCs w:val="18"/>
    </w:rPr>
  </w:style>
  <w:style w:type="paragraph" w:styleId="27">
    <w:name w:val="toc 1"/>
    <w:basedOn w:val="1"/>
    <w:next w:val="1"/>
    <w:qFormat/>
    <w:uiPriority w:val="39"/>
    <w:pPr>
      <w:tabs>
        <w:tab w:val="right" w:leader="dot" w:pos="9242"/>
      </w:tabs>
      <w:spacing w:beforeLines="25" w:afterLines="25"/>
    </w:pPr>
    <w:rPr>
      <w:rFonts w:ascii="宋体" w:cs="宋体"/>
    </w:rPr>
  </w:style>
  <w:style w:type="paragraph" w:styleId="28">
    <w:name w:val="toc 4"/>
    <w:basedOn w:val="1"/>
    <w:next w:val="1"/>
    <w:qFormat/>
    <w:uiPriority w:val="39"/>
    <w:pPr>
      <w:tabs>
        <w:tab w:val="right" w:leader="dot" w:pos="9241"/>
      </w:tabs>
      <w:ind w:firstLine="200"/>
    </w:pPr>
    <w:rPr>
      <w:rFonts w:ascii="宋体" w:cs="宋体"/>
    </w:rPr>
  </w:style>
  <w:style w:type="paragraph" w:styleId="29">
    <w:name w:val="index heading"/>
    <w:basedOn w:val="1"/>
    <w:next w:val="30"/>
    <w:semiHidden/>
    <w:qFormat/>
    <w:uiPriority w:val="99"/>
    <w:pPr>
      <w:spacing w:before="120" w:after="120"/>
      <w:jc w:val="center"/>
    </w:pPr>
    <w:rPr>
      <w:rFonts w:ascii="Calibri" w:hAnsi="Calibri" w:cs="Calibri"/>
      <w:b/>
      <w:bCs/>
    </w:rPr>
  </w:style>
  <w:style w:type="paragraph" w:styleId="30">
    <w:name w:val="index 1"/>
    <w:basedOn w:val="1"/>
    <w:next w:val="1"/>
    <w:semiHidden/>
    <w:qFormat/>
    <w:uiPriority w:val="99"/>
    <w:pPr>
      <w:tabs>
        <w:tab w:val="right" w:leader="dot" w:pos="9299"/>
      </w:tabs>
    </w:pPr>
    <w:rPr>
      <w:rFonts w:ascii="宋体" w:cs="宋体"/>
    </w:rPr>
  </w:style>
  <w:style w:type="paragraph" w:styleId="31">
    <w:name w:val="Subtitle"/>
    <w:basedOn w:val="1"/>
    <w:next w:val="1"/>
    <w:link w:val="84"/>
    <w:qFormat/>
    <w:locked/>
    <w:uiPriority w:val="11"/>
    <w:pPr>
      <w:spacing w:before="240" w:after="60" w:line="312" w:lineRule="atLeast"/>
      <w:jc w:val="center"/>
      <w:outlineLvl w:val="1"/>
    </w:pPr>
    <w:rPr>
      <w:rFonts w:asciiTheme="majorHAnsi" w:hAnsiTheme="majorHAnsi" w:cstheme="majorBidi"/>
      <w:b/>
      <w:bCs/>
      <w:kern w:val="28"/>
      <w:sz w:val="32"/>
      <w:szCs w:val="32"/>
    </w:rPr>
  </w:style>
  <w:style w:type="paragraph" w:styleId="32">
    <w:name w:val="footnote text"/>
    <w:basedOn w:val="1"/>
    <w:link w:val="61"/>
    <w:semiHidden/>
    <w:qFormat/>
    <w:uiPriority w:val="99"/>
    <w:pPr>
      <w:numPr>
        <w:ilvl w:val="0"/>
        <w:numId w:val="2"/>
      </w:numPr>
      <w:snapToGrid w:val="0"/>
    </w:pPr>
    <w:rPr>
      <w:rFonts w:ascii="宋体" w:cs="宋体"/>
      <w:sz w:val="18"/>
      <w:szCs w:val="18"/>
    </w:rPr>
  </w:style>
  <w:style w:type="paragraph" w:styleId="33">
    <w:name w:val="toc 6"/>
    <w:basedOn w:val="1"/>
    <w:next w:val="1"/>
    <w:qFormat/>
    <w:uiPriority w:val="39"/>
    <w:pPr>
      <w:tabs>
        <w:tab w:val="right" w:leader="dot" w:pos="9241"/>
      </w:tabs>
      <w:ind w:firstLine="400" w:firstLineChars="400"/>
    </w:pPr>
    <w:rPr>
      <w:rFonts w:ascii="宋体" w:cs="宋体"/>
    </w:rPr>
  </w:style>
  <w:style w:type="paragraph" w:styleId="34">
    <w:name w:val="index 7"/>
    <w:basedOn w:val="1"/>
    <w:next w:val="1"/>
    <w:semiHidden/>
    <w:qFormat/>
    <w:uiPriority w:val="99"/>
    <w:pPr>
      <w:ind w:left="1470" w:hanging="210"/>
    </w:pPr>
    <w:rPr>
      <w:rFonts w:ascii="Calibri" w:hAnsi="Calibri" w:cs="Calibri"/>
      <w:sz w:val="20"/>
      <w:szCs w:val="20"/>
    </w:rPr>
  </w:style>
  <w:style w:type="paragraph" w:styleId="35">
    <w:name w:val="index 9"/>
    <w:basedOn w:val="1"/>
    <w:next w:val="1"/>
    <w:semiHidden/>
    <w:qFormat/>
    <w:uiPriority w:val="99"/>
    <w:pPr>
      <w:ind w:left="1890" w:hanging="210"/>
    </w:pPr>
    <w:rPr>
      <w:rFonts w:ascii="Calibri" w:hAnsi="Calibri" w:cs="Calibri"/>
      <w:sz w:val="20"/>
      <w:szCs w:val="20"/>
    </w:rPr>
  </w:style>
  <w:style w:type="paragraph" w:styleId="36">
    <w:name w:val="toc 2"/>
    <w:basedOn w:val="1"/>
    <w:next w:val="1"/>
    <w:qFormat/>
    <w:uiPriority w:val="39"/>
    <w:pPr>
      <w:tabs>
        <w:tab w:val="right" w:leader="dot" w:pos="9242"/>
      </w:tabs>
    </w:pPr>
    <w:rPr>
      <w:rFonts w:ascii="宋体" w:hAnsi="宋体" w:cs="宋体"/>
    </w:rPr>
  </w:style>
  <w:style w:type="paragraph" w:styleId="37">
    <w:name w:val="toc 9"/>
    <w:basedOn w:val="1"/>
    <w:next w:val="1"/>
    <w:qFormat/>
    <w:uiPriority w:val="39"/>
    <w:pPr>
      <w:ind w:left="1470"/>
    </w:pPr>
    <w:rPr>
      <w:sz w:val="20"/>
      <w:szCs w:val="20"/>
    </w:rPr>
  </w:style>
  <w:style w:type="paragraph" w:styleId="38">
    <w:name w:val="HTML Preformatted"/>
    <w:basedOn w:val="1"/>
    <w:link w:val="6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39">
    <w:name w:val="Normal (Web)"/>
    <w:basedOn w:val="1"/>
    <w:unhideWhenUsed/>
    <w:qFormat/>
    <w:locked/>
    <w:uiPriority w:val="99"/>
    <w:pPr>
      <w:widowControl/>
      <w:spacing w:before="100" w:beforeAutospacing="1" w:after="100" w:afterAutospacing="1" w:line="330" w:lineRule="atLeast"/>
    </w:pPr>
    <w:rPr>
      <w:rFonts w:ascii="宋体" w:hAnsi="宋体" w:cs="宋体"/>
      <w:kern w:val="0"/>
      <w:sz w:val="22"/>
      <w:szCs w:val="22"/>
    </w:rPr>
  </w:style>
  <w:style w:type="paragraph" w:styleId="40">
    <w:name w:val="index 2"/>
    <w:basedOn w:val="1"/>
    <w:next w:val="1"/>
    <w:semiHidden/>
    <w:qFormat/>
    <w:uiPriority w:val="99"/>
    <w:pPr>
      <w:ind w:left="420" w:hanging="210"/>
    </w:pPr>
    <w:rPr>
      <w:rFonts w:ascii="Calibri" w:hAnsi="Calibri" w:cs="Calibri"/>
      <w:sz w:val="20"/>
      <w:szCs w:val="20"/>
    </w:rPr>
  </w:style>
  <w:style w:type="paragraph" w:styleId="41">
    <w:name w:val="Title"/>
    <w:basedOn w:val="1"/>
    <w:next w:val="1"/>
    <w:link w:val="69"/>
    <w:qFormat/>
    <w:locked/>
    <w:uiPriority w:val="0"/>
    <w:pPr>
      <w:spacing w:before="240" w:after="60"/>
      <w:jc w:val="center"/>
      <w:outlineLvl w:val="0"/>
    </w:pPr>
    <w:rPr>
      <w:rFonts w:ascii="Cambria" w:hAnsi="Cambria"/>
      <w:b/>
      <w:bCs/>
      <w:sz w:val="32"/>
      <w:szCs w:val="32"/>
    </w:rPr>
  </w:style>
  <w:style w:type="paragraph" w:styleId="42">
    <w:name w:val="annotation subject"/>
    <w:basedOn w:val="13"/>
    <w:next w:val="13"/>
    <w:link w:val="65"/>
    <w:unhideWhenUsed/>
    <w:qFormat/>
    <w:locked/>
    <w:uiPriority w:val="99"/>
    <w:rPr>
      <w:b/>
      <w:bCs/>
    </w:rPr>
  </w:style>
  <w:style w:type="table" w:styleId="44">
    <w:name w:val="Table Grid"/>
    <w:basedOn w:val="43"/>
    <w:qFormat/>
    <w:uiPriority w:val="3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basedOn w:val="45"/>
    <w:qFormat/>
    <w:locked/>
    <w:uiPriority w:val="22"/>
    <w:rPr>
      <w:b/>
      <w:bCs/>
    </w:rPr>
  </w:style>
  <w:style w:type="character" w:styleId="47">
    <w:name w:val="endnote reference"/>
    <w:basedOn w:val="45"/>
    <w:semiHidden/>
    <w:qFormat/>
    <w:uiPriority w:val="99"/>
    <w:rPr>
      <w:vertAlign w:val="superscript"/>
    </w:rPr>
  </w:style>
  <w:style w:type="character" w:styleId="48">
    <w:name w:val="page number"/>
    <w:basedOn w:val="45"/>
    <w:qFormat/>
    <w:uiPriority w:val="99"/>
    <w:rPr>
      <w:rFonts w:ascii="Times New Roman" w:hAnsi="Times New Roman" w:eastAsia="宋体" w:cs="Times New Roman"/>
      <w:sz w:val="18"/>
      <w:szCs w:val="18"/>
    </w:rPr>
  </w:style>
  <w:style w:type="character" w:styleId="49">
    <w:name w:val="FollowedHyperlink"/>
    <w:basedOn w:val="45"/>
    <w:qFormat/>
    <w:uiPriority w:val="99"/>
    <w:rPr>
      <w:color w:val="800080"/>
      <w:u w:val="single"/>
    </w:rPr>
  </w:style>
  <w:style w:type="character" w:styleId="50">
    <w:name w:val="Emphasis"/>
    <w:basedOn w:val="45"/>
    <w:qFormat/>
    <w:locked/>
    <w:uiPriority w:val="20"/>
    <w:rPr>
      <w:rFonts w:ascii="Times New Roman" w:hAnsi="Times New Roman" w:eastAsia="宋体"/>
      <w:i/>
      <w:iCs/>
    </w:rPr>
  </w:style>
  <w:style w:type="character" w:styleId="51">
    <w:name w:val="Hyperlink"/>
    <w:basedOn w:val="45"/>
    <w:qFormat/>
    <w:uiPriority w:val="99"/>
    <w:rPr>
      <w:color w:val="0000FF"/>
      <w:spacing w:val="0"/>
      <w:w w:val="100"/>
      <w:sz w:val="21"/>
      <w:szCs w:val="21"/>
      <w:u w:val="single"/>
    </w:rPr>
  </w:style>
  <w:style w:type="character" w:styleId="52">
    <w:name w:val="annotation reference"/>
    <w:basedOn w:val="45"/>
    <w:unhideWhenUsed/>
    <w:qFormat/>
    <w:locked/>
    <w:uiPriority w:val="99"/>
    <w:rPr>
      <w:sz w:val="21"/>
      <w:szCs w:val="21"/>
    </w:rPr>
  </w:style>
  <w:style w:type="character" w:styleId="53">
    <w:name w:val="footnote reference"/>
    <w:basedOn w:val="45"/>
    <w:semiHidden/>
    <w:qFormat/>
    <w:uiPriority w:val="99"/>
    <w:rPr>
      <w:vertAlign w:val="superscript"/>
    </w:rPr>
  </w:style>
  <w:style w:type="character" w:customStyle="1" w:styleId="54">
    <w:name w:val="标题 1 Char"/>
    <w:basedOn w:val="45"/>
    <w:link w:val="2"/>
    <w:qFormat/>
    <w:uiPriority w:val="9"/>
    <w:rPr>
      <w:b/>
      <w:bCs/>
      <w:kern w:val="44"/>
      <w:sz w:val="32"/>
      <w:szCs w:val="44"/>
    </w:rPr>
  </w:style>
  <w:style w:type="character" w:customStyle="1" w:styleId="55">
    <w:name w:val="标题 2 Char"/>
    <w:basedOn w:val="45"/>
    <w:link w:val="3"/>
    <w:qFormat/>
    <w:uiPriority w:val="9"/>
    <w:rPr>
      <w:b/>
      <w:bCs/>
      <w:kern w:val="2"/>
      <w:sz w:val="24"/>
      <w:szCs w:val="32"/>
    </w:rPr>
  </w:style>
  <w:style w:type="character" w:customStyle="1" w:styleId="56">
    <w:name w:val="文档结构图 Char"/>
    <w:basedOn w:val="45"/>
    <w:link w:val="12"/>
    <w:semiHidden/>
    <w:qFormat/>
    <w:locked/>
    <w:uiPriority w:val="99"/>
    <w:rPr>
      <w:sz w:val="2"/>
      <w:szCs w:val="2"/>
    </w:rPr>
  </w:style>
  <w:style w:type="character" w:customStyle="1" w:styleId="57">
    <w:name w:val="尾注文本 Char"/>
    <w:basedOn w:val="45"/>
    <w:link w:val="23"/>
    <w:semiHidden/>
    <w:qFormat/>
    <w:locked/>
    <w:uiPriority w:val="99"/>
    <w:rPr>
      <w:sz w:val="24"/>
      <w:szCs w:val="24"/>
    </w:rPr>
  </w:style>
  <w:style w:type="character" w:customStyle="1" w:styleId="58">
    <w:name w:val="批注框文本 Char"/>
    <w:basedOn w:val="45"/>
    <w:link w:val="24"/>
    <w:qFormat/>
    <w:locked/>
    <w:uiPriority w:val="99"/>
    <w:rPr>
      <w:kern w:val="2"/>
      <w:sz w:val="18"/>
      <w:szCs w:val="18"/>
    </w:rPr>
  </w:style>
  <w:style w:type="character" w:customStyle="1" w:styleId="59">
    <w:name w:val="页脚 Char"/>
    <w:basedOn w:val="45"/>
    <w:link w:val="25"/>
    <w:qFormat/>
    <w:locked/>
    <w:uiPriority w:val="99"/>
    <w:rPr>
      <w:sz w:val="18"/>
      <w:szCs w:val="18"/>
    </w:rPr>
  </w:style>
  <w:style w:type="character" w:customStyle="1" w:styleId="60">
    <w:name w:val="页眉 Char"/>
    <w:basedOn w:val="45"/>
    <w:link w:val="26"/>
    <w:qFormat/>
    <w:locked/>
    <w:uiPriority w:val="99"/>
    <w:rPr>
      <w:sz w:val="18"/>
      <w:szCs w:val="18"/>
    </w:rPr>
  </w:style>
  <w:style w:type="character" w:customStyle="1" w:styleId="61">
    <w:name w:val="脚注文本 Char"/>
    <w:basedOn w:val="45"/>
    <w:link w:val="32"/>
    <w:semiHidden/>
    <w:qFormat/>
    <w:locked/>
    <w:uiPriority w:val="99"/>
    <w:rPr>
      <w:sz w:val="18"/>
      <w:szCs w:val="18"/>
    </w:rPr>
  </w:style>
  <w:style w:type="character" w:customStyle="1" w:styleId="62">
    <w:name w:val="HTML 预设格式 Char"/>
    <w:basedOn w:val="45"/>
    <w:link w:val="38"/>
    <w:qFormat/>
    <w:locked/>
    <w:uiPriority w:val="99"/>
    <w:rPr>
      <w:rFonts w:ascii="Courier New" w:hAnsi="Courier New" w:cs="Courier New"/>
      <w:sz w:val="20"/>
      <w:szCs w:val="20"/>
    </w:rPr>
  </w:style>
  <w:style w:type="paragraph" w:customStyle="1" w:styleId="63">
    <w:name w:val="封面一致性程度标识2"/>
    <w:qFormat/>
    <w:uiPriority w:val="99"/>
    <w:pPr>
      <w:framePr w:wrap="around" w:vAnchor="margin" w:hAnchor="text" w:y="4469"/>
    </w:pPr>
    <w:rPr>
      <w:rFonts w:ascii="Times New Roman" w:hAnsi="Times New Roman" w:eastAsia="宋体" w:cs="Times New Roman"/>
      <w:lang w:val="en-US" w:eastAsia="zh-CN" w:bidi="ar-SA"/>
    </w:rPr>
  </w:style>
  <w:style w:type="character" w:customStyle="1" w:styleId="64">
    <w:name w:val="批注文字 Char"/>
    <w:basedOn w:val="45"/>
    <w:link w:val="13"/>
    <w:semiHidden/>
    <w:qFormat/>
    <w:uiPriority w:val="99"/>
    <w:rPr>
      <w:kern w:val="2"/>
      <w:sz w:val="21"/>
      <w:szCs w:val="21"/>
    </w:rPr>
  </w:style>
  <w:style w:type="character" w:customStyle="1" w:styleId="65">
    <w:name w:val="批注主题 Char"/>
    <w:basedOn w:val="64"/>
    <w:link w:val="42"/>
    <w:semiHidden/>
    <w:qFormat/>
    <w:uiPriority w:val="99"/>
    <w:rPr>
      <w:b/>
      <w:bCs/>
      <w:kern w:val="2"/>
      <w:sz w:val="21"/>
      <w:szCs w:val="21"/>
    </w:rPr>
  </w:style>
  <w:style w:type="character" w:customStyle="1" w:styleId="66">
    <w:name w:val="日期 Char"/>
    <w:basedOn w:val="45"/>
    <w:link w:val="22"/>
    <w:semiHidden/>
    <w:qFormat/>
    <w:uiPriority w:val="99"/>
    <w:rPr>
      <w:kern w:val="2"/>
      <w:sz w:val="21"/>
      <w:szCs w:val="21"/>
    </w:rPr>
  </w:style>
  <w:style w:type="paragraph" w:customStyle="1" w:styleId="67">
    <w:name w:val="List Paragraph1"/>
    <w:basedOn w:val="1"/>
    <w:qFormat/>
    <w:uiPriority w:val="34"/>
    <w:rPr>
      <w:rFonts w:ascii="Calibri" w:hAnsi="Calibri"/>
      <w:szCs w:val="22"/>
    </w:rPr>
  </w:style>
  <w:style w:type="table" w:customStyle="1" w:styleId="68">
    <w:name w:val="网格型5"/>
    <w:basedOn w:val="43"/>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9">
    <w:name w:val="标题 Char"/>
    <w:basedOn w:val="45"/>
    <w:link w:val="41"/>
    <w:qFormat/>
    <w:uiPriority w:val="0"/>
    <w:rPr>
      <w:rFonts w:ascii="Cambria" w:hAnsi="Cambria"/>
      <w:b/>
      <w:bCs/>
      <w:kern w:val="2"/>
      <w:sz w:val="32"/>
      <w:szCs w:val="32"/>
    </w:rPr>
  </w:style>
  <w:style w:type="character" w:customStyle="1" w:styleId="70">
    <w:name w:val="纯文本 Char"/>
    <w:basedOn w:val="45"/>
    <w:link w:val="19"/>
    <w:qFormat/>
    <w:uiPriority w:val="0"/>
    <w:rPr>
      <w:rFonts w:ascii="宋体" w:hAnsi="Courier New"/>
      <w:kern w:val="2"/>
      <w:sz w:val="21"/>
    </w:rPr>
  </w:style>
  <w:style w:type="paragraph" w:customStyle="1" w:styleId="71">
    <w:name w:val="表格表头"/>
    <w:basedOn w:val="1"/>
    <w:qFormat/>
    <w:uiPriority w:val="0"/>
    <w:pPr>
      <w:jc w:val="center"/>
    </w:pPr>
    <w:rPr>
      <w:b/>
      <w:sz w:val="18"/>
    </w:rPr>
  </w:style>
  <w:style w:type="paragraph" w:customStyle="1" w:styleId="72">
    <w:name w:val="表格内容"/>
    <w:basedOn w:val="1"/>
    <w:qFormat/>
    <w:uiPriority w:val="0"/>
    <w:pPr>
      <w:jc w:val="center"/>
    </w:pPr>
    <w:rPr>
      <w:sz w:val="18"/>
    </w:rPr>
  </w:style>
  <w:style w:type="paragraph" w:customStyle="1" w:styleId="73">
    <w:name w:val="表格注释"/>
    <w:basedOn w:val="1"/>
    <w:qFormat/>
    <w:uiPriority w:val="0"/>
    <w:pPr>
      <w:spacing w:line="288" w:lineRule="auto"/>
      <w:ind w:firstLine="200"/>
    </w:pPr>
    <w:rPr>
      <w:sz w:val="18"/>
      <w:szCs w:val="18"/>
    </w:rPr>
  </w:style>
  <w:style w:type="paragraph" w:customStyle="1" w:styleId="74">
    <w:name w:val="条文说明"/>
    <w:qFormat/>
    <w:uiPriority w:val="0"/>
    <w:pPr>
      <w:spacing w:line="400" w:lineRule="exact"/>
      <w:ind w:firstLine="420" w:firstLineChars="200"/>
    </w:pPr>
    <w:rPr>
      <w:rFonts w:ascii="Times New Roman" w:hAnsi="Times New Roman" w:eastAsia="方正仿宋_GBK" w:cs="Times New Roman"/>
      <w:lang w:val="en-US" w:eastAsia="zh-CN" w:bidi="ar-SA"/>
    </w:rPr>
  </w:style>
  <w:style w:type="table" w:customStyle="1" w:styleId="75">
    <w:name w:val="网格型2"/>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3"/>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
    <w:name w:val="网格型21"/>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
    <w:name w:val="网格型22"/>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9">
    <w:name w:val="网格型23"/>
    <w:basedOn w:val="4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图名"/>
    <w:basedOn w:val="1"/>
    <w:qFormat/>
    <w:uiPriority w:val="0"/>
    <w:pPr>
      <w:spacing w:line="288" w:lineRule="auto"/>
      <w:jc w:val="center"/>
    </w:pPr>
    <w:rPr>
      <w:sz w:val="18"/>
      <w:szCs w:val="24"/>
    </w:rPr>
  </w:style>
  <w:style w:type="paragraph" w:customStyle="1" w:styleId="81">
    <w:name w:val="No Spacing1"/>
    <w:link w:val="82"/>
    <w:qFormat/>
    <w:uiPriority w:val="1"/>
    <w:rPr>
      <w:rFonts w:asciiTheme="minorHAnsi" w:hAnsiTheme="minorHAnsi" w:eastAsiaTheme="minorEastAsia" w:cstheme="minorBidi"/>
      <w:sz w:val="22"/>
      <w:szCs w:val="22"/>
      <w:lang w:val="en-US" w:eastAsia="zh-CN" w:bidi="ar-SA"/>
    </w:rPr>
  </w:style>
  <w:style w:type="character" w:customStyle="1" w:styleId="82">
    <w:name w:val="无间隔 Char"/>
    <w:basedOn w:val="45"/>
    <w:link w:val="81"/>
    <w:qFormat/>
    <w:uiPriority w:val="1"/>
    <w:rPr>
      <w:rFonts w:asciiTheme="minorHAnsi" w:hAnsiTheme="minorHAnsi" w:eastAsiaTheme="minorEastAsia" w:cstheme="minorBidi"/>
      <w:sz w:val="22"/>
      <w:szCs w:val="22"/>
    </w:rPr>
  </w:style>
  <w:style w:type="character" w:customStyle="1" w:styleId="83">
    <w:name w:val="标题 3 Char"/>
    <w:basedOn w:val="45"/>
    <w:link w:val="4"/>
    <w:qFormat/>
    <w:uiPriority w:val="9"/>
    <w:rPr>
      <w:rFonts w:ascii="Times New Roman" w:hAnsi="Times New Roman" w:cs="Times New Roman"/>
      <w:bCs/>
      <w:kern w:val="2"/>
      <w:sz w:val="21"/>
      <w:szCs w:val="32"/>
    </w:rPr>
  </w:style>
  <w:style w:type="character" w:customStyle="1" w:styleId="84">
    <w:name w:val="副标题 Char"/>
    <w:basedOn w:val="45"/>
    <w:link w:val="31"/>
    <w:qFormat/>
    <w:uiPriority w:val="11"/>
    <w:rPr>
      <w:rFonts w:asciiTheme="majorHAnsi" w:hAnsiTheme="majorHAnsi" w:cstheme="majorBidi"/>
      <w:b/>
      <w:bCs/>
      <w:kern w:val="28"/>
      <w:sz w:val="32"/>
      <w:szCs w:val="32"/>
    </w:rPr>
  </w:style>
  <w:style w:type="character" w:customStyle="1" w:styleId="85">
    <w:name w:val="标题 4 Char"/>
    <w:basedOn w:val="45"/>
    <w:link w:val="5"/>
    <w:qFormat/>
    <w:uiPriority w:val="9"/>
    <w:rPr>
      <w:rFonts w:asciiTheme="majorHAnsi" w:hAnsiTheme="majorHAnsi" w:eastAsiaTheme="majorEastAsia" w:cstheme="majorBidi"/>
      <w:b/>
      <w:bCs/>
      <w:kern w:val="2"/>
      <w:sz w:val="28"/>
      <w:szCs w:val="28"/>
    </w:rPr>
  </w:style>
  <w:style w:type="character" w:customStyle="1" w:styleId="86">
    <w:name w:val="标题 5 Char"/>
    <w:basedOn w:val="45"/>
    <w:link w:val="6"/>
    <w:qFormat/>
    <w:uiPriority w:val="9"/>
    <w:rPr>
      <w:rFonts w:ascii="Times New Roman" w:hAnsi="Times New Roman"/>
      <w:b/>
      <w:bCs/>
      <w:kern w:val="2"/>
      <w:sz w:val="28"/>
      <w:szCs w:val="28"/>
    </w:rPr>
  </w:style>
  <w:style w:type="character" w:styleId="87">
    <w:name w:val="Placeholder Text"/>
    <w:basedOn w:val="45"/>
    <w:unhideWhenUsed/>
    <w:qFormat/>
    <w:uiPriority w:val="99"/>
    <w:rPr>
      <w:color w:val="808080"/>
    </w:rPr>
  </w:style>
  <w:style w:type="paragraph" w:styleId="88">
    <w:name w:val="List Paragraph"/>
    <w:basedOn w:val="1"/>
    <w:qFormat/>
    <w:uiPriority w:val="34"/>
    <w:pPr>
      <w:jc w:val="center"/>
    </w:pPr>
    <w:rPr>
      <w:sz w:val="18"/>
      <w:szCs w:val="22"/>
    </w:rPr>
  </w:style>
  <w:style w:type="paragraph" w:styleId="89">
    <w:name w:val="No Spacing"/>
    <w:link w:val="90"/>
    <w:qFormat/>
    <w:uiPriority w:val="1"/>
    <w:rPr>
      <w:rFonts w:asciiTheme="minorHAnsi" w:hAnsiTheme="minorHAnsi" w:eastAsiaTheme="minorEastAsia" w:cstheme="minorBidi"/>
      <w:sz w:val="22"/>
      <w:szCs w:val="22"/>
      <w:lang w:val="en-US" w:eastAsia="zh-CN" w:bidi="ar-SA"/>
    </w:rPr>
  </w:style>
  <w:style w:type="character" w:customStyle="1" w:styleId="90">
    <w:name w:val="无间隔 Char1"/>
    <w:basedOn w:val="45"/>
    <w:link w:val="89"/>
    <w:qFormat/>
    <w:uiPriority w:val="1"/>
    <w:rPr>
      <w:rFonts w:asciiTheme="minorHAnsi" w:hAnsiTheme="minorHAnsi" w:eastAsiaTheme="minorEastAsia" w:cstheme="minorBidi"/>
      <w:sz w:val="22"/>
      <w:szCs w:val="22"/>
    </w:rPr>
  </w:style>
  <w:style w:type="table" w:customStyle="1" w:styleId="91">
    <w:name w:val="网格型1"/>
    <w:basedOn w:val="4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Table Normal1"/>
    <w:basedOn w:val="43"/>
    <w:semiHidden/>
    <w:qFormat/>
    <w:uiPriority w:val="0"/>
    <w:rPr>
      <w:rFonts w:hint="eastAsia"/>
    </w:rPr>
    <w:tblPr>
      <w:tblCellMar>
        <w:top w:w="0" w:type="dxa"/>
        <w:left w:w="108" w:type="dxa"/>
        <w:bottom w:w="0" w:type="dxa"/>
        <w:right w:w="108" w:type="dxa"/>
      </w:tblCellMar>
    </w:tblPr>
  </w:style>
  <w:style w:type="paragraph" w:customStyle="1" w:styleId="93">
    <w:name w:val="Revision1"/>
    <w:hidden/>
    <w:unhideWhenUsed/>
    <w:qFormat/>
    <w:uiPriority w:val="99"/>
    <w:rPr>
      <w:rFonts w:ascii="Times New Roman" w:hAnsi="Times New Roman" w:eastAsia="宋体" w:cs="Times New Roman"/>
      <w:kern w:val="2"/>
      <w:sz w:val="21"/>
      <w:szCs w:val="21"/>
      <w:lang w:val="en-US" w:eastAsia="zh-CN" w:bidi="ar-SA"/>
    </w:rPr>
  </w:style>
  <w:style w:type="paragraph" w:customStyle="1" w:styleId="94">
    <w:name w:val="表格"/>
    <w:basedOn w:val="1"/>
    <w:qFormat/>
    <w:uiPriority w:val="0"/>
    <w:pPr>
      <w:spacing w:line="240" w:lineRule="auto"/>
      <w:ind w:firstLine="0" w:firstLineChars="0"/>
      <w:jc w:val="center"/>
    </w:pPr>
    <w:rPr>
      <w:sz w:val="18"/>
    </w:rPr>
  </w:style>
  <w:style w:type="table" w:customStyle="1" w:styleId="95">
    <w:name w:val="Table Normal2"/>
    <w:basedOn w:val="43"/>
    <w:semiHidden/>
    <w:qFormat/>
    <w:uiPriority w:val="0"/>
    <w:rPr>
      <w:kern w:val="2"/>
      <w:sz w:val="21"/>
      <w:szCs w:val="21"/>
    </w:rPr>
    <w:tblPr>
      <w:tblCellMar>
        <w:top w:w="0" w:type="dxa"/>
        <w:left w:w="108" w:type="dxa"/>
        <w:bottom w:w="0" w:type="dxa"/>
        <w:right w:w="108" w:type="dxa"/>
      </w:tblCellMar>
    </w:tblPr>
  </w:style>
  <w:style w:type="paragraph" w:customStyle="1" w:styleId="96">
    <w:name w:val="附图注释"/>
    <w:basedOn w:val="1"/>
    <w:qFormat/>
    <w:uiPriority w:val="0"/>
    <w:pPr>
      <w:tabs>
        <w:tab w:val="right" w:leader="dot" w:pos="9242"/>
      </w:tabs>
      <w:spacing w:line="288" w:lineRule="auto"/>
      <w:ind w:firstLine="0" w:firstLineChars="0"/>
      <w:jc w:val="center"/>
    </w:pPr>
    <w:rPr>
      <w:sz w:val="15"/>
    </w:rPr>
  </w:style>
</w:styles>
</file>

<file path=word/_rels/document.xml.rels><?xml version="1.0" encoding="UTF-8" standalone="yes"?>
<Relationships xmlns="http://schemas.openxmlformats.org/package/2006/relationships"><Relationship Id="rId99" Type="http://schemas.openxmlformats.org/officeDocument/2006/relationships/image" Target="media/image43.wmf"/><Relationship Id="rId98" Type="http://schemas.openxmlformats.org/officeDocument/2006/relationships/oleObject" Target="embeddings/oleObject40.bin"/><Relationship Id="rId97" Type="http://schemas.openxmlformats.org/officeDocument/2006/relationships/image" Target="media/image42.wmf"/><Relationship Id="rId96" Type="http://schemas.openxmlformats.org/officeDocument/2006/relationships/oleObject" Target="embeddings/oleObject39.bin"/><Relationship Id="rId95" Type="http://schemas.openxmlformats.org/officeDocument/2006/relationships/image" Target="media/image41.wmf"/><Relationship Id="rId94" Type="http://schemas.openxmlformats.org/officeDocument/2006/relationships/oleObject" Target="embeddings/oleObject38.bin"/><Relationship Id="rId93" Type="http://schemas.openxmlformats.org/officeDocument/2006/relationships/image" Target="media/image40.wmf"/><Relationship Id="rId92" Type="http://schemas.openxmlformats.org/officeDocument/2006/relationships/oleObject" Target="embeddings/oleObject37.bin"/><Relationship Id="rId91" Type="http://schemas.openxmlformats.org/officeDocument/2006/relationships/image" Target="media/image39.wmf"/><Relationship Id="rId90" Type="http://schemas.openxmlformats.org/officeDocument/2006/relationships/oleObject" Target="embeddings/oleObject36.bin"/><Relationship Id="rId9" Type="http://schemas.openxmlformats.org/officeDocument/2006/relationships/footer" Target="footer2.xml"/><Relationship Id="rId89" Type="http://schemas.openxmlformats.org/officeDocument/2006/relationships/image" Target="media/image38.wmf"/><Relationship Id="rId88" Type="http://schemas.openxmlformats.org/officeDocument/2006/relationships/oleObject" Target="embeddings/oleObject35.bin"/><Relationship Id="rId87" Type="http://schemas.openxmlformats.org/officeDocument/2006/relationships/image" Target="media/image37.wmf"/><Relationship Id="rId86" Type="http://schemas.openxmlformats.org/officeDocument/2006/relationships/oleObject" Target="embeddings/oleObject34.bin"/><Relationship Id="rId85" Type="http://schemas.openxmlformats.org/officeDocument/2006/relationships/image" Target="media/image36.wmf"/><Relationship Id="rId84" Type="http://schemas.openxmlformats.org/officeDocument/2006/relationships/oleObject" Target="embeddings/oleObject33.bin"/><Relationship Id="rId83" Type="http://schemas.openxmlformats.org/officeDocument/2006/relationships/image" Target="media/image35.wmf"/><Relationship Id="rId82" Type="http://schemas.openxmlformats.org/officeDocument/2006/relationships/oleObject" Target="embeddings/oleObject32.bin"/><Relationship Id="rId81" Type="http://schemas.openxmlformats.org/officeDocument/2006/relationships/image" Target="media/image34.wmf"/><Relationship Id="rId80" Type="http://schemas.openxmlformats.org/officeDocument/2006/relationships/oleObject" Target="embeddings/oleObject31.bin"/><Relationship Id="rId8" Type="http://schemas.openxmlformats.org/officeDocument/2006/relationships/footer" Target="footer1.xml"/><Relationship Id="rId79" Type="http://schemas.openxmlformats.org/officeDocument/2006/relationships/image" Target="media/image33.wmf"/><Relationship Id="rId78" Type="http://schemas.openxmlformats.org/officeDocument/2006/relationships/oleObject" Target="embeddings/oleObject30.bin"/><Relationship Id="rId77" Type="http://schemas.openxmlformats.org/officeDocument/2006/relationships/image" Target="media/image32.wmf"/><Relationship Id="rId76" Type="http://schemas.openxmlformats.org/officeDocument/2006/relationships/oleObject" Target="embeddings/oleObject29.bin"/><Relationship Id="rId75" Type="http://schemas.openxmlformats.org/officeDocument/2006/relationships/image" Target="media/image31.wmf"/><Relationship Id="rId74" Type="http://schemas.openxmlformats.org/officeDocument/2006/relationships/oleObject" Target="embeddings/oleObject28.bin"/><Relationship Id="rId73" Type="http://schemas.openxmlformats.org/officeDocument/2006/relationships/image" Target="media/image30.wmf"/><Relationship Id="rId72" Type="http://schemas.openxmlformats.org/officeDocument/2006/relationships/oleObject" Target="embeddings/oleObject27.bin"/><Relationship Id="rId71" Type="http://schemas.openxmlformats.org/officeDocument/2006/relationships/image" Target="media/image29.wmf"/><Relationship Id="rId70" Type="http://schemas.openxmlformats.org/officeDocument/2006/relationships/oleObject" Target="embeddings/oleObject26.bin"/><Relationship Id="rId7" Type="http://schemas.openxmlformats.org/officeDocument/2006/relationships/header" Target="header3.xml"/><Relationship Id="rId69" Type="http://schemas.openxmlformats.org/officeDocument/2006/relationships/image" Target="media/image28.wmf"/><Relationship Id="rId68" Type="http://schemas.openxmlformats.org/officeDocument/2006/relationships/oleObject" Target="embeddings/oleObject25.bin"/><Relationship Id="rId67" Type="http://schemas.openxmlformats.org/officeDocument/2006/relationships/image" Target="media/image27.wmf"/><Relationship Id="rId66" Type="http://schemas.openxmlformats.org/officeDocument/2006/relationships/oleObject" Target="embeddings/oleObject24.bin"/><Relationship Id="rId65" Type="http://schemas.openxmlformats.org/officeDocument/2006/relationships/image" Target="media/image26.wmf"/><Relationship Id="rId64" Type="http://schemas.openxmlformats.org/officeDocument/2006/relationships/oleObject" Target="embeddings/oleObject23.bin"/><Relationship Id="rId63" Type="http://schemas.openxmlformats.org/officeDocument/2006/relationships/image" Target="media/image25.wmf"/><Relationship Id="rId62" Type="http://schemas.openxmlformats.org/officeDocument/2006/relationships/oleObject" Target="embeddings/oleObject22.bin"/><Relationship Id="rId61" Type="http://schemas.openxmlformats.org/officeDocument/2006/relationships/image" Target="media/image24.wmf"/><Relationship Id="rId60" Type="http://schemas.openxmlformats.org/officeDocument/2006/relationships/oleObject" Target="embeddings/oleObject21.bin"/><Relationship Id="rId6" Type="http://schemas.openxmlformats.org/officeDocument/2006/relationships/header" Target="header2.xml"/><Relationship Id="rId59" Type="http://schemas.openxmlformats.org/officeDocument/2006/relationships/image" Target="media/image23.wmf"/><Relationship Id="rId58" Type="http://schemas.openxmlformats.org/officeDocument/2006/relationships/oleObject" Target="embeddings/oleObject20.bin"/><Relationship Id="rId57" Type="http://schemas.openxmlformats.org/officeDocument/2006/relationships/image" Target="media/image22.wmf"/><Relationship Id="rId56" Type="http://schemas.openxmlformats.org/officeDocument/2006/relationships/oleObject" Target="embeddings/oleObject19.bin"/><Relationship Id="rId55" Type="http://schemas.openxmlformats.org/officeDocument/2006/relationships/image" Target="media/image21.png"/><Relationship Id="rId54" Type="http://schemas.openxmlformats.org/officeDocument/2006/relationships/image" Target="media/image20.png"/><Relationship Id="rId53" Type="http://schemas.openxmlformats.org/officeDocument/2006/relationships/image" Target="media/image19.png"/><Relationship Id="rId52" Type="http://schemas.openxmlformats.org/officeDocument/2006/relationships/image" Target="media/image18.wmf"/><Relationship Id="rId51" Type="http://schemas.openxmlformats.org/officeDocument/2006/relationships/oleObject" Target="embeddings/oleObject18.bin"/><Relationship Id="rId50" Type="http://schemas.openxmlformats.org/officeDocument/2006/relationships/image" Target="media/image17.wmf"/><Relationship Id="rId5" Type="http://schemas.openxmlformats.org/officeDocument/2006/relationships/header" Target="header1.xml"/><Relationship Id="rId49" Type="http://schemas.openxmlformats.org/officeDocument/2006/relationships/oleObject" Target="embeddings/oleObject17.bin"/><Relationship Id="rId48" Type="http://schemas.openxmlformats.org/officeDocument/2006/relationships/image" Target="media/image16.wmf"/><Relationship Id="rId47" Type="http://schemas.openxmlformats.org/officeDocument/2006/relationships/oleObject" Target="embeddings/oleObject16.bin"/><Relationship Id="rId46" Type="http://schemas.openxmlformats.org/officeDocument/2006/relationships/image" Target="media/image15.wmf"/><Relationship Id="rId45" Type="http://schemas.openxmlformats.org/officeDocument/2006/relationships/oleObject" Target="embeddings/oleObject15.bin"/><Relationship Id="rId44" Type="http://schemas.openxmlformats.org/officeDocument/2006/relationships/image" Target="media/image14.wmf"/><Relationship Id="rId43" Type="http://schemas.openxmlformats.org/officeDocument/2006/relationships/oleObject" Target="embeddings/oleObject14.bin"/><Relationship Id="rId42" Type="http://schemas.openxmlformats.org/officeDocument/2006/relationships/image" Target="media/image13.wmf"/><Relationship Id="rId41" Type="http://schemas.openxmlformats.org/officeDocument/2006/relationships/oleObject" Target="embeddings/oleObject13.bin"/><Relationship Id="rId40" Type="http://schemas.openxmlformats.org/officeDocument/2006/relationships/image" Target="media/image12.wmf"/><Relationship Id="rId4" Type="http://schemas.openxmlformats.org/officeDocument/2006/relationships/endnotes" Target="endnotes.xml"/><Relationship Id="rId39" Type="http://schemas.openxmlformats.org/officeDocument/2006/relationships/oleObject" Target="embeddings/oleObject12.bin"/><Relationship Id="rId38" Type="http://schemas.openxmlformats.org/officeDocument/2006/relationships/image" Target="media/image11.wmf"/><Relationship Id="rId37" Type="http://schemas.openxmlformats.org/officeDocument/2006/relationships/oleObject" Target="embeddings/oleObject11.bin"/><Relationship Id="rId36" Type="http://schemas.openxmlformats.org/officeDocument/2006/relationships/image" Target="media/image10.wmf"/><Relationship Id="rId35" Type="http://schemas.openxmlformats.org/officeDocument/2006/relationships/oleObject" Target="embeddings/oleObject10.bin"/><Relationship Id="rId34" Type="http://schemas.openxmlformats.org/officeDocument/2006/relationships/image" Target="media/image9.wmf"/><Relationship Id="rId33" Type="http://schemas.openxmlformats.org/officeDocument/2006/relationships/oleObject" Target="embeddings/oleObject9.bin"/><Relationship Id="rId32" Type="http://schemas.openxmlformats.org/officeDocument/2006/relationships/image" Target="media/image8.wmf"/><Relationship Id="rId31" Type="http://schemas.openxmlformats.org/officeDocument/2006/relationships/oleObject" Target="embeddings/oleObject8.bin"/><Relationship Id="rId30" Type="http://schemas.openxmlformats.org/officeDocument/2006/relationships/image" Target="media/image7.wmf"/><Relationship Id="rId3" Type="http://schemas.openxmlformats.org/officeDocument/2006/relationships/footnotes" Target="footnotes.xml"/><Relationship Id="rId29" Type="http://schemas.openxmlformats.org/officeDocument/2006/relationships/oleObject" Target="embeddings/oleObject7.bin"/><Relationship Id="rId28" Type="http://schemas.openxmlformats.org/officeDocument/2006/relationships/image" Target="media/image6.wmf"/><Relationship Id="rId27" Type="http://schemas.openxmlformats.org/officeDocument/2006/relationships/oleObject" Target="embeddings/oleObject6.bin"/><Relationship Id="rId26" Type="http://schemas.openxmlformats.org/officeDocument/2006/relationships/image" Target="media/image5.wmf"/><Relationship Id="rId254" Type="http://schemas.openxmlformats.org/officeDocument/2006/relationships/fontTable" Target="fontTable.xml"/><Relationship Id="rId253" Type="http://schemas.openxmlformats.org/officeDocument/2006/relationships/customXml" Target="../customXml/item2.xml"/><Relationship Id="rId252" Type="http://schemas.openxmlformats.org/officeDocument/2006/relationships/numbering" Target="numbering.xml"/><Relationship Id="rId251" Type="http://schemas.openxmlformats.org/officeDocument/2006/relationships/customXml" Target="../customXml/item1.xml"/><Relationship Id="rId250" Type="http://schemas.openxmlformats.org/officeDocument/2006/relationships/image" Target="media/image122.wmf"/><Relationship Id="rId25" Type="http://schemas.openxmlformats.org/officeDocument/2006/relationships/oleObject" Target="embeddings/oleObject5.bin"/><Relationship Id="rId249" Type="http://schemas.openxmlformats.org/officeDocument/2006/relationships/oleObject" Target="embeddings/oleObject112.bin"/><Relationship Id="rId248" Type="http://schemas.openxmlformats.org/officeDocument/2006/relationships/image" Target="media/image121.wmf"/><Relationship Id="rId247" Type="http://schemas.openxmlformats.org/officeDocument/2006/relationships/oleObject" Target="embeddings/oleObject111.bin"/><Relationship Id="rId246" Type="http://schemas.openxmlformats.org/officeDocument/2006/relationships/image" Target="media/image120.wmf"/><Relationship Id="rId245" Type="http://schemas.openxmlformats.org/officeDocument/2006/relationships/oleObject" Target="embeddings/oleObject110.bin"/><Relationship Id="rId244" Type="http://schemas.openxmlformats.org/officeDocument/2006/relationships/image" Target="media/image119.png"/><Relationship Id="rId243" Type="http://schemas.openxmlformats.org/officeDocument/2006/relationships/image" Target="media/image118.png"/><Relationship Id="rId242" Type="http://schemas.openxmlformats.org/officeDocument/2006/relationships/image" Target="media/image117.wmf"/><Relationship Id="rId241" Type="http://schemas.openxmlformats.org/officeDocument/2006/relationships/oleObject" Target="embeddings/oleObject109.bin"/><Relationship Id="rId240" Type="http://schemas.openxmlformats.org/officeDocument/2006/relationships/image" Target="media/image116.png"/><Relationship Id="rId24" Type="http://schemas.openxmlformats.org/officeDocument/2006/relationships/image" Target="media/image4.wmf"/><Relationship Id="rId239" Type="http://schemas.openxmlformats.org/officeDocument/2006/relationships/image" Target="media/image115.png"/><Relationship Id="rId238" Type="http://schemas.openxmlformats.org/officeDocument/2006/relationships/image" Target="media/image114.wmf"/><Relationship Id="rId237" Type="http://schemas.openxmlformats.org/officeDocument/2006/relationships/oleObject" Target="embeddings/oleObject108.bin"/><Relationship Id="rId236" Type="http://schemas.openxmlformats.org/officeDocument/2006/relationships/image" Target="media/image113.wmf"/><Relationship Id="rId235" Type="http://schemas.openxmlformats.org/officeDocument/2006/relationships/oleObject" Target="embeddings/oleObject107.bin"/><Relationship Id="rId234" Type="http://schemas.openxmlformats.org/officeDocument/2006/relationships/image" Target="media/image112.wmf"/><Relationship Id="rId233" Type="http://schemas.openxmlformats.org/officeDocument/2006/relationships/oleObject" Target="embeddings/oleObject106.bin"/><Relationship Id="rId232" Type="http://schemas.openxmlformats.org/officeDocument/2006/relationships/image" Target="media/image111.wmf"/><Relationship Id="rId231" Type="http://schemas.openxmlformats.org/officeDocument/2006/relationships/oleObject" Target="embeddings/oleObject105.bin"/><Relationship Id="rId230" Type="http://schemas.openxmlformats.org/officeDocument/2006/relationships/image" Target="media/image110.wmf"/><Relationship Id="rId23" Type="http://schemas.openxmlformats.org/officeDocument/2006/relationships/oleObject" Target="embeddings/oleObject4.bin"/><Relationship Id="rId229" Type="http://schemas.openxmlformats.org/officeDocument/2006/relationships/oleObject" Target="embeddings/oleObject104.bin"/><Relationship Id="rId228" Type="http://schemas.openxmlformats.org/officeDocument/2006/relationships/image" Target="media/image109.wmf"/><Relationship Id="rId227" Type="http://schemas.openxmlformats.org/officeDocument/2006/relationships/oleObject" Target="embeddings/oleObject103.bin"/><Relationship Id="rId226" Type="http://schemas.openxmlformats.org/officeDocument/2006/relationships/image" Target="media/image108.wmf"/><Relationship Id="rId225" Type="http://schemas.openxmlformats.org/officeDocument/2006/relationships/oleObject" Target="embeddings/oleObject102.bin"/><Relationship Id="rId224" Type="http://schemas.openxmlformats.org/officeDocument/2006/relationships/image" Target="media/image107.wmf"/><Relationship Id="rId223" Type="http://schemas.openxmlformats.org/officeDocument/2006/relationships/oleObject" Target="embeddings/oleObject101.bin"/><Relationship Id="rId222" Type="http://schemas.openxmlformats.org/officeDocument/2006/relationships/image" Target="media/image106.wmf"/><Relationship Id="rId221" Type="http://schemas.openxmlformats.org/officeDocument/2006/relationships/oleObject" Target="embeddings/oleObject100.bin"/><Relationship Id="rId220" Type="http://schemas.openxmlformats.org/officeDocument/2006/relationships/image" Target="media/image105.wmf"/><Relationship Id="rId22" Type="http://schemas.openxmlformats.org/officeDocument/2006/relationships/image" Target="media/image3.wmf"/><Relationship Id="rId219" Type="http://schemas.openxmlformats.org/officeDocument/2006/relationships/oleObject" Target="embeddings/oleObject99.bin"/><Relationship Id="rId218" Type="http://schemas.openxmlformats.org/officeDocument/2006/relationships/image" Target="media/image104.wmf"/><Relationship Id="rId217" Type="http://schemas.openxmlformats.org/officeDocument/2006/relationships/oleObject" Target="embeddings/oleObject98.bin"/><Relationship Id="rId216" Type="http://schemas.openxmlformats.org/officeDocument/2006/relationships/image" Target="media/image103.wmf"/><Relationship Id="rId215" Type="http://schemas.openxmlformats.org/officeDocument/2006/relationships/oleObject" Target="embeddings/oleObject97.bin"/><Relationship Id="rId214" Type="http://schemas.openxmlformats.org/officeDocument/2006/relationships/image" Target="media/image102.wmf"/><Relationship Id="rId213" Type="http://schemas.openxmlformats.org/officeDocument/2006/relationships/oleObject" Target="embeddings/oleObject96.bin"/><Relationship Id="rId212" Type="http://schemas.openxmlformats.org/officeDocument/2006/relationships/image" Target="media/image101.wmf"/><Relationship Id="rId211" Type="http://schemas.openxmlformats.org/officeDocument/2006/relationships/oleObject" Target="embeddings/oleObject95.bin"/><Relationship Id="rId210" Type="http://schemas.openxmlformats.org/officeDocument/2006/relationships/image" Target="media/image100.wmf"/><Relationship Id="rId21" Type="http://schemas.openxmlformats.org/officeDocument/2006/relationships/oleObject" Target="embeddings/oleObject3.bin"/><Relationship Id="rId209" Type="http://schemas.openxmlformats.org/officeDocument/2006/relationships/oleObject" Target="embeddings/oleObject94.bin"/><Relationship Id="rId208" Type="http://schemas.openxmlformats.org/officeDocument/2006/relationships/image" Target="media/image99.wmf"/><Relationship Id="rId207" Type="http://schemas.openxmlformats.org/officeDocument/2006/relationships/oleObject" Target="embeddings/oleObject93.bin"/><Relationship Id="rId206" Type="http://schemas.openxmlformats.org/officeDocument/2006/relationships/image" Target="media/image98.wmf"/><Relationship Id="rId205" Type="http://schemas.openxmlformats.org/officeDocument/2006/relationships/oleObject" Target="embeddings/oleObject92.bin"/><Relationship Id="rId204" Type="http://schemas.openxmlformats.org/officeDocument/2006/relationships/image" Target="media/image97.wmf"/><Relationship Id="rId203" Type="http://schemas.openxmlformats.org/officeDocument/2006/relationships/oleObject" Target="embeddings/oleObject91.bin"/><Relationship Id="rId202" Type="http://schemas.openxmlformats.org/officeDocument/2006/relationships/image" Target="media/image96.wmf"/><Relationship Id="rId201" Type="http://schemas.openxmlformats.org/officeDocument/2006/relationships/oleObject" Target="embeddings/oleObject90.bin"/><Relationship Id="rId200" Type="http://schemas.openxmlformats.org/officeDocument/2006/relationships/image" Target="media/image95.wmf"/><Relationship Id="rId20" Type="http://schemas.openxmlformats.org/officeDocument/2006/relationships/image" Target="media/image2.wmf"/><Relationship Id="rId2" Type="http://schemas.openxmlformats.org/officeDocument/2006/relationships/settings" Target="settings.xml"/><Relationship Id="rId199" Type="http://schemas.openxmlformats.org/officeDocument/2006/relationships/oleObject" Target="embeddings/oleObject89.bin"/><Relationship Id="rId198" Type="http://schemas.openxmlformats.org/officeDocument/2006/relationships/image" Target="media/image94.wmf"/><Relationship Id="rId197" Type="http://schemas.openxmlformats.org/officeDocument/2006/relationships/oleObject" Target="embeddings/oleObject88.bin"/><Relationship Id="rId196" Type="http://schemas.openxmlformats.org/officeDocument/2006/relationships/image" Target="media/image93.wmf"/><Relationship Id="rId195" Type="http://schemas.openxmlformats.org/officeDocument/2006/relationships/oleObject" Target="embeddings/oleObject87.bin"/><Relationship Id="rId194" Type="http://schemas.openxmlformats.org/officeDocument/2006/relationships/image" Target="media/image92.wmf"/><Relationship Id="rId193" Type="http://schemas.openxmlformats.org/officeDocument/2006/relationships/oleObject" Target="embeddings/oleObject86.bin"/><Relationship Id="rId192" Type="http://schemas.openxmlformats.org/officeDocument/2006/relationships/image" Target="media/image91.wmf"/><Relationship Id="rId191" Type="http://schemas.openxmlformats.org/officeDocument/2006/relationships/oleObject" Target="embeddings/oleObject85.bin"/><Relationship Id="rId190" Type="http://schemas.openxmlformats.org/officeDocument/2006/relationships/image" Target="media/image90.wmf"/><Relationship Id="rId19" Type="http://schemas.openxmlformats.org/officeDocument/2006/relationships/oleObject" Target="embeddings/oleObject2.bin"/><Relationship Id="rId189" Type="http://schemas.openxmlformats.org/officeDocument/2006/relationships/oleObject" Target="embeddings/oleObject84.bin"/><Relationship Id="rId188" Type="http://schemas.openxmlformats.org/officeDocument/2006/relationships/image" Target="media/image89.png"/><Relationship Id="rId187" Type="http://schemas.openxmlformats.org/officeDocument/2006/relationships/image" Target="media/image88.wmf"/><Relationship Id="rId186" Type="http://schemas.openxmlformats.org/officeDocument/2006/relationships/oleObject" Target="embeddings/oleObject83.bin"/><Relationship Id="rId185" Type="http://schemas.openxmlformats.org/officeDocument/2006/relationships/image" Target="media/image87.wmf"/><Relationship Id="rId184" Type="http://schemas.openxmlformats.org/officeDocument/2006/relationships/oleObject" Target="embeddings/oleObject82.bin"/><Relationship Id="rId183" Type="http://schemas.openxmlformats.org/officeDocument/2006/relationships/image" Target="media/image86.wmf"/><Relationship Id="rId182" Type="http://schemas.openxmlformats.org/officeDocument/2006/relationships/oleObject" Target="embeddings/oleObject81.bin"/><Relationship Id="rId181" Type="http://schemas.openxmlformats.org/officeDocument/2006/relationships/image" Target="media/image85.wmf"/><Relationship Id="rId180" Type="http://schemas.openxmlformats.org/officeDocument/2006/relationships/oleObject" Target="embeddings/oleObject80.bin"/><Relationship Id="rId18" Type="http://schemas.openxmlformats.org/officeDocument/2006/relationships/image" Target="media/image1.wmf"/><Relationship Id="rId179" Type="http://schemas.openxmlformats.org/officeDocument/2006/relationships/image" Target="media/image84.wmf"/><Relationship Id="rId178" Type="http://schemas.openxmlformats.org/officeDocument/2006/relationships/oleObject" Target="embeddings/oleObject79.bin"/><Relationship Id="rId177" Type="http://schemas.openxmlformats.org/officeDocument/2006/relationships/image" Target="media/image83.wmf"/><Relationship Id="rId176" Type="http://schemas.openxmlformats.org/officeDocument/2006/relationships/oleObject" Target="embeddings/oleObject78.bin"/><Relationship Id="rId175" Type="http://schemas.openxmlformats.org/officeDocument/2006/relationships/image" Target="media/image82.wmf"/><Relationship Id="rId174" Type="http://schemas.openxmlformats.org/officeDocument/2006/relationships/oleObject" Target="embeddings/oleObject77.bin"/><Relationship Id="rId173" Type="http://schemas.openxmlformats.org/officeDocument/2006/relationships/image" Target="media/image81.wmf"/><Relationship Id="rId172" Type="http://schemas.openxmlformats.org/officeDocument/2006/relationships/oleObject" Target="embeddings/oleObject76.bin"/><Relationship Id="rId171" Type="http://schemas.openxmlformats.org/officeDocument/2006/relationships/image" Target="media/image80.wmf"/><Relationship Id="rId170" Type="http://schemas.openxmlformats.org/officeDocument/2006/relationships/oleObject" Target="embeddings/oleObject75.bin"/><Relationship Id="rId17" Type="http://schemas.openxmlformats.org/officeDocument/2006/relationships/oleObject" Target="embeddings/oleObject1.bin"/><Relationship Id="rId169" Type="http://schemas.openxmlformats.org/officeDocument/2006/relationships/image" Target="media/image79.wmf"/><Relationship Id="rId168" Type="http://schemas.openxmlformats.org/officeDocument/2006/relationships/oleObject" Target="embeddings/oleObject74.bin"/><Relationship Id="rId167" Type="http://schemas.openxmlformats.org/officeDocument/2006/relationships/image" Target="media/image78.wmf"/><Relationship Id="rId166" Type="http://schemas.openxmlformats.org/officeDocument/2006/relationships/oleObject" Target="embeddings/oleObject73.bin"/><Relationship Id="rId165" Type="http://schemas.openxmlformats.org/officeDocument/2006/relationships/image" Target="media/image77.wmf"/><Relationship Id="rId164" Type="http://schemas.openxmlformats.org/officeDocument/2006/relationships/oleObject" Target="embeddings/oleObject72.bin"/><Relationship Id="rId163" Type="http://schemas.openxmlformats.org/officeDocument/2006/relationships/image" Target="media/image76.wmf"/><Relationship Id="rId162" Type="http://schemas.openxmlformats.org/officeDocument/2006/relationships/oleObject" Target="embeddings/oleObject71.bin"/><Relationship Id="rId161" Type="http://schemas.openxmlformats.org/officeDocument/2006/relationships/image" Target="media/image75.wmf"/><Relationship Id="rId160" Type="http://schemas.openxmlformats.org/officeDocument/2006/relationships/oleObject" Target="embeddings/oleObject70.bin"/><Relationship Id="rId16" Type="http://schemas.openxmlformats.org/officeDocument/2006/relationships/theme" Target="theme/theme1.xml"/><Relationship Id="rId159" Type="http://schemas.openxmlformats.org/officeDocument/2006/relationships/image" Target="media/image74.wmf"/><Relationship Id="rId158" Type="http://schemas.openxmlformats.org/officeDocument/2006/relationships/oleObject" Target="embeddings/oleObject69.bin"/><Relationship Id="rId157" Type="http://schemas.openxmlformats.org/officeDocument/2006/relationships/image" Target="media/image73.wmf"/><Relationship Id="rId156" Type="http://schemas.openxmlformats.org/officeDocument/2006/relationships/oleObject" Target="embeddings/oleObject68.bin"/><Relationship Id="rId155" Type="http://schemas.openxmlformats.org/officeDocument/2006/relationships/image" Target="media/image72.wmf"/><Relationship Id="rId154" Type="http://schemas.openxmlformats.org/officeDocument/2006/relationships/oleObject" Target="embeddings/oleObject67.bin"/><Relationship Id="rId153" Type="http://schemas.openxmlformats.org/officeDocument/2006/relationships/image" Target="media/image71.wmf"/><Relationship Id="rId152" Type="http://schemas.openxmlformats.org/officeDocument/2006/relationships/oleObject" Target="embeddings/oleObject66.bin"/><Relationship Id="rId151" Type="http://schemas.openxmlformats.org/officeDocument/2006/relationships/image" Target="media/image70.png"/><Relationship Id="rId150" Type="http://schemas.openxmlformats.org/officeDocument/2006/relationships/image" Target="media/image69.wmf"/><Relationship Id="rId15" Type="http://schemas.openxmlformats.org/officeDocument/2006/relationships/footer" Target="footer8.xml"/><Relationship Id="rId149" Type="http://schemas.openxmlformats.org/officeDocument/2006/relationships/oleObject" Target="embeddings/oleObject65.bin"/><Relationship Id="rId148" Type="http://schemas.openxmlformats.org/officeDocument/2006/relationships/image" Target="media/image68.wmf"/><Relationship Id="rId147" Type="http://schemas.openxmlformats.org/officeDocument/2006/relationships/oleObject" Target="embeddings/oleObject64.bin"/><Relationship Id="rId146" Type="http://schemas.openxmlformats.org/officeDocument/2006/relationships/image" Target="media/image67.wmf"/><Relationship Id="rId145" Type="http://schemas.openxmlformats.org/officeDocument/2006/relationships/oleObject" Target="embeddings/oleObject63.bin"/><Relationship Id="rId144" Type="http://schemas.openxmlformats.org/officeDocument/2006/relationships/image" Target="media/image66.wmf"/><Relationship Id="rId143" Type="http://schemas.openxmlformats.org/officeDocument/2006/relationships/oleObject" Target="embeddings/oleObject62.bin"/><Relationship Id="rId142" Type="http://schemas.openxmlformats.org/officeDocument/2006/relationships/image" Target="media/image65.wmf"/><Relationship Id="rId141" Type="http://schemas.openxmlformats.org/officeDocument/2006/relationships/oleObject" Target="embeddings/oleObject61.bin"/><Relationship Id="rId140" Type="http://schemas.openxmlformats.org/officeDocument/2006/relationships/image" Target="media/image64.wmf"/><Relationship Id="rId14" Type="http://schemas.openxmlformats.org/officeDocument/2006/relationships/footer" Target="footer7.xml"/><Relationship Id="rId139" Type="http://schemas.openxmlformats.org/officeDocument/2006/relationships/oleObject" Target="embeddings/oleObject60.bin"/><Relationship Id="rId138" Type="http://schemas.openxmlformats.org/officeDocument/2006/relationships/image" Target="media/image63.png"/><Relationship Id="rId137" Type="http://schemas.openxmlformats.org/officeDocument/2006/relationships/image" Target="media/image62.wmf"/><Relationship Id="rId136" Type="http://schemas.openxmlformats.org/officeDocument/2006/relationships/oleObject" Target="embeddings/oleObject59.bin"/><Relationship Id="rId135" Type="http://schemas.openxmlformats.org/officeDocument/2006/relationships/image" Target="media/image61.wmf"/><Relationship Id="rId134" Type="http://schemas.openxmlformats.org/officeDocument/2006/relationships/oleObject" Target="embeddings/oleObject58.bin"/><Relationship Id="rId133" Type="http://schemas.openxmlformats.org/officeDocument/2006/relationships/image" Target="media/image60.wmf"/><Relationship Id="rId132" Type="http://schemas.openxmlformats.org/officeDocument/2006/relationships/oleObject" Target="embeddings/oleObject57.bin"/><Relationship Id="rId131" Type="http://schemas.openxmlformats.org/officeDocument/2006/relationships/image" Target="media/image59.wmf"/><Relationship Id="rId130" Type="http://schemas.openxmlformats.org/officeDocument/2006/relationships/oleObject" Target="embeddings/oleObject56.bin"/><Relationship Id="rId13" Type="http://schemas.openxmlformats.org/officeDocument/2006/relationships/footer" Target="footer6.xml"/><Relationship Id="rId129" Type="http://schemas.openxmlformats.org/officeDocument/2006/relationships/image" Target="media/image58.wmf"/><Relationship Id="rId128" Type="http://schemas.openxmlformats.org/officeDocument/2006/relationships/oleObject" Target="embeddings/oleObject55.bin"/><Relationship Id="rId127" Type="http://schemas.openxmlformats.org/officeDocument/2006/relationships/image" Target="media/image57.wmf"/><Relationship Id="rId126" Type="http://schemas.openxmlformats.org/officeDocument/2006/relationships/oleObject" Target="embeddings/oleObject54.bin"/><Relationship Id="rId125" Type="http://schemas.openxmlformats.org/officeDocument/2006/relationships/image" Target="media/image56.wmf"/><Relationship Id="rId124" Type="http://schemas.openxmlformats.org/officeDocument/2006/relationships/oleObject" Target="embeddings/oleObject53.bin"/><Relationship Id="rId123" Type="http://schemas.openxmlformats.org/officeDocument/2006/relationships/image" Target="media/image55.wmf"/><Relationship Id="rId122" Type="http://schemas.openxmlformats.org/officeDocument/2006/relationships/oleObject" Target="embeddings/oleObject52.bin"/><Relationship Id="rId121" Type="http://schemas.openxmlformats.org/officeDocument/2006/relationships/image" Target="media/image54.wmf"/><Relationship Id="rId120" Type="http://schemas.openxmlformats.org/officeDocument/2006/relationships/oleObject" Target="embeddings/oleObject51.bin"/><Relationship Id="rId12" Type="http://schemas.openxmlformats.org/officeDocument/2006/relationships/footer" Target="footer5.xml"/><Relationship Id="rId119" Type="http://schemas.openxmlformats.org/officeDocument/2006/relationships/image" Target="media/image53.wmf"/><Relationship Id="rId118" Type="http://schemas.openxmlformats.org/officeDocument/2006/relationships/oleObject" Target="embeddings/oleObject50.bin"/><Relationship Id="rId117" Type="http://schemas.openxmlformats.org/officeDocument/2006/relationships/image" Target="media/image52.wmf"/><Relationship Id="rId116" Type="http://schemas.openxmlformats.org/officeDocument/2006/relationships/oleObject" Target="embeddings/oleObject49.bin"/><Relationship Id="rId115" Type="http://schemas.openxmlformats.org/officeDocument/2006/relationships/image" Target="media/image51.wmf"/><Relationship Id="rId114" Type="http://schemas.openxmlformats.org/officeDocument/2006/relationships/oleObject" Target="embeddings/oleObject48.bin"/><Relationship Id="rId113" Type="http://schemas.openxmlformats.org/officeDocument/2006/relationships/image" Target="media/image50.wmf"/><Relationship Id="rId112" Type="http://schemas.openxmlformats.org/officeDocument/2006/relationships/oleObject" Target="embeddings/oleObject47.bin"/><Relationship Id="rId111" Type="http://schemas.openxmlformats.org/officeDocument/2006/relationships/image" Target="media/image49.wmf"/><Relationship Id="rId110" Type="http://schemas.openxmlformats.org/officeDocument/2006/relationships/oleObject" Target="embeddings/oleObject46.bin"/><Relationship Id="rId11" Type="http://schemas.openxmlformats.org/officeDocument/2006/relationships/footer" Target="footer4.xml"/><Relationship Id="rId109" Type="http://schemas.openxmlformats.org/officeDocument/2006/relationships/image" Target="media/image48.wmf"/><Relationship Id="rId108" Type="http://schemas.openxmlformats.org/officeDocument/2006/relationships/oleObject" Target="embeddings/oleObject45.bin"/><Relationship Id="rId107" Type="http://schemas.openxmlformats.org/officeDocument/2006/relationships/image" Target="media/image47.wmf"/><Relationship Id="rId106" Type="http://schemas.openxmlformats.org/officeDocument/2006/relationships/oleObject" Target="embeddings/oleObject44.bin"/><Relationship Id="rId105" Type="http://schemas.openxmlformats.org/officeDocument/2006/relationships/image" Target="media/image46.wmf"/><Relationship Id="rId104" Type="http://schemas.openxmlformats.org/officeDocument/2006/relationships/oleObject" Target="embeddings/oleObject43.bin"/><Relationship Id="rId103" Type="http://schemas.openxmlformats.org/officeDocument/2006/relationships/image" Target="media/image45.wmf"/><Relationship Id="rId102" Type="http://schemas.openxmlformats.org/officeDocument/2006/relationships/oleObject" Target="embeddings/oleObject42.bin"/><Relationship Id="rId101" Type="http://schemas.openxmlformats.org/officeDocument/2006/relationships/image" Target="media/image44.wmf"/><Relationship Id="rId100" Type="http://schemas.openxmlformats.org/officeDocument/2006/relationships/oleObject" Target="embeddings/oleObject41.bin"/><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216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9C26D-3924-4033-A765-B49C7B5BC6DE}">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79</Pages>
  <Words>52980</Words>
  <Characters>59281</Characters>
  <Lines>510</Lines>
  <Paragraphs>143</Paragraphs>
  <TotalTime>12</TotalTime>
  <ScaleCrop>false</ScaleCrop>
  <LinksUpToDate>false</LinksUpToDate>
  <CharactersWithSpaces>60488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2021-11-21T02:11:00Z</dcterms:created>
  <dc:creator>CNIS</dc:creator>
  <cp:lastModifiedBy>钊哥</cp:lastModifiedBy>
  <cp:lastPrinted>2021-08-10T02:23:00Z</cp:lastPrinted>
  <dcterms:modified xsi:type="dcterms:W3CDTF">2023-03-16T01:26:34Z</dcterms:modified>
  <dc:title>标准名称</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6F54EDFF6CAB463399C84210F3A488DD</vt:lpwstr>
  </property>
</Properties>
</file>