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武汉市智能建造</w:t>
      </w:r>
      <w:r>
        <w:rPr>
          <w:rFonts w:hint="eastAsia" w:ascii="方正小标宋简体" w:hAnsi="方正小标宋简体" w:eastAsia="方正小标宋简体" w:cs="方正小标宋简体"/>
          <w:lang w:val="en-US" w:eastAsia="zh-CN"/>
        </w:rPr>
        <w:t>试点</w:t>
      </w:r>
      <w:r>
        <w:rPr>
          <w:rFonts w:hint="eastAsia" w:ascii="方正小标宋简体" w:hAnsi="方正小标宋简体" w:eastAsia="方正小标宋简体" w:cs="方正小标宋简体"/>
        </w:rPr>
        <w:t>工厂评价表</w:t>
      </w:r>
    </w:p>
    <w:p>
      <w:pPr>
        <w:pStyle w:val="2"/>
        <w:spacing w:before="0" w:after="0" w:line="560" w:lineRule="exact"/>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征求意见稿</w:t>
      </w:r>
      <w:r>
        <w:rPr>
          <w:rFonts w:hint="eastAsia" w:ascii="方正小标宋简体" w:hAnsi="方正小标宋简体" w:eastAsia="方正小标宋简体" w:cs="方正小标宋简体"/>
          <w:lang w:eastAsia="zh-CN"/>
        </w:rPr>
        <w:t>）</w:t>
      </w:r>
    </w:p>
    <w:p>
      <w:pPr>
        <w:pStyle w:val="2"/>
        <w:spacing w:before="0" w:after="0" w:line="560" w:lineRule="exact"/>
        <w:jc w:val="center"/>
        <w:rPr>
          <w:rFonts w:hint="default" w:ascii="方正小标宋简体" w:hAnsi="方正小标宋简体" w:eastAsia="方正小标宋简体" w:cs="方正小标宋简体"/>
          <w:lang w:val="en-US" w:eastAsia="zh-CN"/>
        </w:rPr>
      </w:pPr>
    </w:p>
    <w:tbl>
      <w:tblPr>
        <w:tblStyle w:val="4"/>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86" w:type="dxa"/>
            <w:shd w:val="clear" w:color="auto" w:fill="auto"/>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
                <w:bCs w:val="0"/>
                <w:sz w:val="24"/>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786" w:type="dxa"/>
            <w:shd w:val="clear" w:color="auto" w:fill="auto"/>
            <w:noWrap/>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1.有固定的办公场所、生产场所和工业厂房（园区），配置有成品及原材料堆场和研发、试验管理用房；</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2.企业通过质量、安全、健康体系认证，制定了完善的技术、质量、安全和档案管理制度；</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3.提供企业资信情况证明，企业信誉良好，无征信不良行为记录；</w:t>
            </w:r>
          </w:p>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4.申报当年不得发生一般及以上相关安全事故，且近3年不得发生较大相关安全和质量事故；</w:t>
            </w:r>
          </w:p>
          <w:p>
            <w:pPr>
              <w:pStyle w:val="3"/>
              <w:rPr>
                <w:rFonts w:hint="eastAsia" w:ascii="仿宋_GB2312" w:hAnsi="仿宋_GB2312" w:eastAsia="仿宋_GB2312" w:cs="仿宋_GB2312"/>
                <w:bCs/>
                <w:sz w:val="24"/>
              </w:rPr>
            </w:pPr>
          </w:p>
        </w:tc>
      </w:tr>
    </w:tbl>
    <w:p/>
    <w:tbl>
      <w:tblPr>
        <w:tblStyle w:val="5"/>
        <w:tblW w:w="4858"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277"/>
        <w:gridCol w:w="1913"/>
        <w:gridCol w:w="2684"/>
        <w:gridCol w:w="9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一级指标</w:t>
            </w:r>
          </w:p>
        </w:tc>
        <w:tc>
          <w:tcPr>
            <w:tcW w:w="725"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二级指标</w:t>
            </w:r>
          </w:p>
        </w:tc>
        <w:tc>
          <w:tcPr>
            <w:tcW w:w="1086"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指标解释</w:t>
            </w:r>
          </w:p>
        </w:tc>
        <w:tc>
          <w:tcPr>
            <w:tcW w:w="1523"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评分标准</w:t>
            </w:r>
          </w:p>
        </w:tc>
        <w:tc>
          <w:tcPr>
            <w:tcW w:w="516"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满</w:t>
            </w:r>
            <w:r>
              <w:rPr>
                <w:rFonts w:hint="eastAsia" w:ascii="仿宋_GB2312" w:hAnsi="仿宋_GB2312" w:eastAsia="仿宋_GB2312" w:cs="仿宋_GB2312"/>
                <w:b/>
                <w:bCs/>
                <w:sz w:val="24"/>
                <w:highlight w:val="none"/>
              </w:rPr>
              <w:t>分</w:t>
            </w:r>
          </w:p>
        </w:tc>
        <w:tc>
          <w:tcPr>
            <w:tcW w:w="429" w:type="pc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9"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技术水平</w:t>
            </w:r>
          </w:p>
        </w:tc>
        <w:tc>
          <w:tcPr>
            <w:tcW w:w="725"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标准化水平</w:t>
            </w:r>
          </w:p>
        </w:tc>
        <w:tc>
          <w:tcPr>
            <w:tcW w:w="1086" w:type="pct"/>
            <w:vMerge w:val="restar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工厂从设计端即采用标准化、模数化设计，同时，生产标准化预制部品部件，驱动标准化施工，在项目设计、生产（采购）、施工环节均采用了标准化做法</w:t>
            </w:r>
            <w:r>
              <w:rPr>
                <w:rFonts w:hint="eastAsia" w:ascii="仿宋_GB2312" w:hAnsi="仿宋_GB2312" w:eastAsia="仿宋_GB2312" w:cs="仿宋_GB2312"/>
                <w:sz w:val="24"/>
                <w:highlight w:val="none"/>
                <w:lang w:eastAsia="zh-CN"/>
              </w:rPr>
              <w:t>。</w:t>
            </w: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建有标准化的BIM产品构件库得5分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5</w:t>
            </w:r>
            <w:r>
              <w:rPr>
                <w:rFonts w:hint="eastAsia" w:ascii="仿宋_GB2312" w:hAnsi="仿宋_GB2312" w:eastAsia="仿宋_GB2312" w:cs="仿宋_GB2312"/>
                <w:sz w:val="24"/>
                <w:highlight w:val="none"/>
              </w:rPr>
              <w:t>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BIM产品构件库有专门的管理平台得5分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5</w:t>
            </w:r>
            <w:r>
              <w:rPr>
                <w:rFonts w:hint="eastAsia" w:ascii="仿宋_GB2312" w:hAnsi="仿宋_GB2312" w:eastAsia="仿宋_GB2312" w:cs="仿宋_GB2312"/>
                <w:sz w:val="24"/>
                <w:highlight w:val="none"/>
              </w:rPr>
              <w:t>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建有标准化的产品施工做法库，得5分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restart"/>
            <w:vAlign w:val="center"/>
          </w:tcPr>
          <w:p>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sz w:val="24"/>
                <w:highlight w:val="none"/>
              </w:rPr>
              <w:t>信息化应用</w:t>
            </w:r>
          </w:p>
        </w:tc>
        <w:tc>
          <w:tcPr>
            <w:tcW w:w="1086" w:type="pct"/>
            <w:vMerge w:val="restar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建有覆盖工厂的工业通信网络，建有工业信息安全技术防护体系，具备网络防护、应急响应等信息安全保障能力；建有功能安全保护系统</w:t>
            </w:r>
            <w:r>
              <w:rPr>
                <w:rFonts w:hint="eastAsia" w:ascii="仿宋_GB2312" w:hAnsi="仿宋_GB2312" w:eastAsia="仿宋_GB2312" w:cs="仿宋_GB2312"/>
                <w:sz w:val="24"/>
                <w:highlight w:val="none"/>
                <w:lang w:eastAsia="zh-CN"/>
              </w:rPr>
              <w:t>。</w:t>
            </w: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建有覆盖工厂的5G工业通信网络实现数据的采集、传输和处理得2分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2</w:t>
            </w:r>
            <w:r>
              <w:rPr>
                <w:rFonts w:hint="eastAsia" w:ascii="仿宋_GB2312" w:hAnsi="仿宋_GB2312" w:eastAsia="仿宋_GB2312" w:cs="仿宋_GB2312"/>
                <w:sz w:val="24"/>
                <w:highlight w:val="none"/>
              </w:rPr>
              <w:t>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采用自建工业互联网平台或选择面向市场提供公开服务的工业互联网平台，得3分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软件和网络安全</w:t>
            </w:r>
          </w:p>
        </w:tc>
        <w:tc>
          <w:tcPr>
            <w:tcW w:w="108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使用自主可控内核开发的各种软件，网络安全等级保护符合要求。</w:t>
            </w:r>
          </w:p>
        </w:tc>
        <w:tc>
          <w:tcPr>
            <w:tcW w:w="1523"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自主开发每一项软件得2分，至多得5分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生产制造</w:t>
            </w:r>
          </w:p>
        </w:tc>
        <w:tc>
          <w:tcPr>
            <w:tcW w:w="1086" w:type="pct"/>
            <w:vMerge w:val="restart"/>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建立企业级的统一数据中心和工业信息安全防护体系，工厂级的综合智能化管控系统，实现生产计划管理、生产过程控制、产品质量管理、车间库存管理、项目看板管理的数字化与智能化，提高企业生产执行能力。</w:t>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采用数据驱动自动化生产设备，设备与工厂管理系统连通，实现数字化生产。</w:t>
            </w: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生产排程柔性化。建立高级计划与排产系统,能进行集中排程、可视化调度、大数据挖掘分析，及时准确掌握原料、设备、人员等生产信息，得</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eastAsia="zh-CN"/>
              </w:rPr>
              <w:t>5</w:t>
            </w:r>
            <w:r>
              <w:rPr>
                <w:rFonts w:hint="eastAsia" w:ascii="仿宋_GB2312" w:hAnsi="仿宋_GB2312" w:eastAsia="仿宋_GB2312" w:cs="仿宋_GB2312"/>
                <w:sz w:val="24"/>
                <w:szCs w:val="24"/>
                <w:highlight w:val="none"/>
                <w:lang w:val="en-US" w:eastAsia="zh-CN"/>
              </w:rPr>
              <w:t>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生产作业数字化。生产管理系统和数据采集与监视控制系统、分布式集散控制系统全面集成，自动生成企业所需要的日报表、盘点表、月质量报表等相关数据报表，得</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eastAsia="zh-CN"/>
              </w:rPr>
              <w:t>5</w:t>
            </w:r>
            <w:r>
              <w:rPr>
                <w:rFonts w:hint="eastAsia" w:ascii="仿宋_GB2312" w:hAnsi="仿宋_GB2312" w:eastAsia="仿宋_GB2312" w:cs="仿宋_GB2312"/>
                <w:sz w:val="24"/>
                <w:szCs w:val="24"/>
                <w:highlight w:val="none"/>
                <w:lang w:val="en-US" w:eastAsia="zh-CN"/>
              </w:rPr>
              <w:t>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过程质量可追溯。质量管理系统和检测设备无缝集成，实现实时在线检测，得</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3分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sz w:val="24"/>
                <w:highlight w:val="none"/>
              </w:rPr>
            </w:pPr>
          </w:p>
        </w:tc>
        <w:tc>
          <w:tcPr>
            <w:tcW w:w="1086" w:type="pct"/>
            <w:vMerge w:val="continue"/>
            <w:vAlign w:val="center"/>
          </w:tcPr>
          <w:p>
            <w:pPr>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生产设备自动化。</w:t>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采用自动化设备，实现与工厂管理系统互通，采用数据驱动设备，实现少人化工厂得</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5分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719" w:type="pct"/>
            <w:vMerge w:val="continue"/>
            <w:vAlign w:val="center"/>
          </w:tcPr>
          <w:p>
            <w:pPr>
              <w:jc w:val="center"/>
              <w:rPr>
                <w:rFonts w:hint="eastAsia" w:ascii="仿宋_GB2312" w:hAnsi="仿宋_GB2312" w:eastAsia="仿宋_GB2312" w:cs="仿宋_GB2312"/>
                <w:sz w:val="24"/>
                <w:szCs w:val="24"/>
                <w:highlight w:val="none"/>
              </w:rPr>
            </w:pPr>
          </w:p>
        </w:tc>
        <w:tc>
          <w:tcPr>
            <w:tcW w:w="725" w:type="pct"/>
            <w:vMerge w:val="continue"/>
            <w:vAlign w:val="center"/>
          </w:tcPr>
          <w:p>
            <w:pPr>
              <w:jc w:val="center"/>
              <w:rPr>
                <w:rFonts w:hint="eastAsia" w:ascii="仿宋_GB2312" w:hAnsi="仿宋_GB2312" w:eastAsia="仿宋_GB2312" w:cs="仿宋_GB2312"/>
                <w:sz w:val="24"/>
                <w:szCs w:val="24"/>
                <w:highlight w:val="none"/>
              </w:rPr>
            </w:pPr>
          </w:p>
        </w:tc>
        <w:tc>
          <w:tcPr>
            <w:tcW w:w="1086" w:type="pct"/>
            <w:vMerge w:val="continue"/>
            <w:vAlign w:val="center"/>
          </w:tcPr>
          <w:p>
            <w:pPr>
              <w:jc w:val="left"/>
              <w:rPr>
                <w:rFonts w:hint="eastAsia" w:ascii="仿宋_GB2312" w:hAnsi="仿宋_GB2312" w:eastAsia="仿宋_GB2312" w:cs="仿宋_GB2312"/>
                <w:sz w:val="24"/>
                <w:szCs w:val="24"/>
                <w:highlight w:val="none"/>
              </w:rPr>
            </w:pPr>
          </w:p>
        </w:tc>
        <w:tc>
          <w:tcPr>
            <w:tcW w:w="1523" w:type="pct"/>
            <w:vAlign w:val="center"/>
          </w:tcPr>
          <w:p>
            <w:pPr>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能源、排放系统无缝整合。工业废弃物100%集中管控，达标排放，并有应急处理措施；准确掌握水、电、汽、油等各类能源介质分系统运行状况；完善能源计量体系，提供数据支撑、统一数据来源，全面实现各能源系统的无缝集成与集中管控，实现绿色制造、低碳环保运行，得</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7分</w:t>
            </w:r>
          </w:p>
        </w:tc>
        <w:tc>
          <w:tcPr>
            <w:tcW w:w="429" w:type="pct"/>
            <w:vAlign w:val="center"/>
          </w:tcPr>
          <w:p>
            <w:pP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标准体系化建设</w:t>
            </w:r>
          </w:p>
        </w:tc>
        <w:tc>
          <w:tcPr>
            <w:tcW w:w="1086"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主编或参编过智能建造工厂相关的国家、省级或团体技术标准、规范及标准图集。</w:t>
            </w: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参编一本规范或者标准得2分，每增加一项加2分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719"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管理能力</w:t>
            </w:r>
          </w:p>
        </w:tc>
        <w:tc>
          <w:tcPr>
            <w:tcW w:w="725"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人员配置</w:t>
            </w:r>
          </w:p>
        </w:tc>
        <w:tc>
          <w:tcPr>
            <w:tcW w:w="1086" w:type="pct"/>
            <w:vAlign w:val="center"/>
          </w:tcPr>
          <w:p>
            <w:pPr>
              <w:pStyle w:val="7"/>
              <w:ind w:firstLine="0" w:firstLineChars="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企业总技术负责人具有智能建造相关的职业资格，并有从事智能建造相关工程技术管理工作经历</w:t>
            </w:r>
            <w:r>
              <w:rPr>
                <w:rFonts w:hint="eastAsia" w:ascii="仿宋_GB2312" w:hAnsi="仿宋_GB2312" w:eastAsia="仿宋_GB2312" w:cs="仿宋_GB2312"/>
                <w:sz w:val="24"/>
                <w:highlight w:val="none"/>
                <w:lang w:eastAsia="zh-CN"/>
              </w:rPr>
              <w:t>。</w:t>
            </w: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企业总技术负责人，具有高级工程师职称或一级注册建筑或结构工程师执业资格，并有10年以上从事工程技术管理工作经历，得1分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highlight w:val="none"/>
              </w:rPr>
              <w:t>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color w:val="000000"/>
                <w:kern w:val="0"/>
                <w:sz w:val="24"/>
                <w:highlight w:val="none"/>
              </w:rPr>
            </w:pPr>
          </w:p>
        </w:tc>
        <w:tc>
          <w:tcPr>
            <w:tcW w:w="1086" w:type="pct"/>
            <w:vAlign w:val="center"/>
          </w:tcPr>
          <w:p>
            <w:pPr>
              <w:pStyle w:val="7"/>
              <w:ind w:firstLine="0" w:firstLineChars="0"/>
              <w:jc w:val="left"/>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sz w:val="24"/>
                <w:highlight w:val="none"/>
              </w:rPr>
              <w:t>具有专门从事智能建造的研发、设计、生产、施工团队</w:t>
            </w:r>
            <w:r>
              <w:rPr>
                <w:rFonts w:hint="eastAsia" w:ascii="仿宋_GB2312" w:hAnsi="仿宋_GB2312" w:eastAsia="仿宋_GB2312" w:cs="仿宋_GB2312"/>
                <w:sz w:val="24"/>
                <w:highlight w:val="none"/>
                <w:lang w:eastAsia="zh-CN"/>
              </w:rPr>
              <w:t>。</w:t>
            </w: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团队数量不低于20人，得2分；团队5人及以上高级职称得1分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3分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生产质量管理能力</w:t>
            </w:r>
          </w:p>
        </w:tc>
        <w:tc>
          <w:tcPr>
            <w:tcW w:w="1086" w:type="pct"/>
            <w:vAlign w:val="center"/>
          </w:tcPr>
          <w:p>
            <w:pPr>
              <w:pStyle w:val="7"/>
              <w:widowControl/>
              <w:ind w:firstLine="0" w:firstLineChars="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有智能化的</w:t>
            </w:r>
            <w:r>
              <w:rPr>
                <w:rFonts w:hint="eastAsia" w:ascii="仿宋_GB2312" w:hAnsi="仿宋_GB2312" w:eastAsia="仿宋_GB2312" w:cs="仿宋_GB2312"/>
                <w:color w:val="000000" w:themeColor="text1"/>
                <w:sz w:val="24"/>
                <w:highlight w:val="none"/>
                <w14:textFill>
                  <w14:solidFill>
                    <w14:schemeClr w14:val="tx1"/>
                  </w14:solidFill>
                </w14:textFill>
              </w:rPr>
              <w:t>原材料质量检测制度、检测程序、检测方案及智能化的构件成品出厂检验及编码能力</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1523" w:type="pct"/>
            <w:vAlign w:val="center"/>
          </w:tcPr>
          <w:p>
            <w:pPr>
              <w:widowControl/>
              <w:jc w:val="left"/>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themeColor="text1"/>
                <w:sz w:val="24"/>
                <w:highlight w:val="none"/>
                <w14:textFill>
                  <w14:solidFill>
                    <w14:schemeClr w14:val="tx1"/>
                  </w14:solidFill>
                </w14:textFill>
              </w:rPr>
              <w:t>提供原材料质量检测制度、检测程序、检测方案分别得1分，共3分；提供构件成品检验和编码制度、方案、程序分别得1分，共3分</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restart"/>
            <w:vAlign w:val="center"/>
          </w:tcPr>
          <w:p>
            <w:pPr>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经营管理</w:t>
            </w:r>
          </w:p>
        </w:tc>
        <w:tc>
          <w:tcPr>
            <w:tcW w:w="1086" w:type="pct"/>
            <w:vMerge w:val="restart"/>
            <w:vAlign w:val="center"/>
          </w:tcPr>
          <w:p>
            <w:pPr>
              <w:pStyle w:val="7"/>
              <w:widowControl/>
              <w:ind w:firstLine="0" w:firstLineChars="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经营管理包括企业资源管理、供应链管理、产品全生命周期管理，仓储及物流管理</w:t>
            </w:r>
            <w:r>
              <w:rPr>
                <w:rFonts w:hint="eastAsia" w:ascii="仿宋_GB2312" w:hAnsi="仿宋_GB2312" w:eastAsia="仿宋_GB2312" w:cs="仿宋_GB2312"/>
                <w:sz w:val="24"/>
                <w:highlight w:val="none"/>
                <w:lang w:eastAsia="zh-CN"/>
              </w:rPr>
              <w:t>。</w:t>
            </w:r>
          </w:p>
        </w:tc>
        <w:tc>
          <w:tcPr>
            <w:tcW w:w="1523" w:type="pct"/>
            <w:vAlign w:val="center"/>
          </w:tcPr>
          <w:p>
            <w:pPr>
              <w:widowControl/>
              <w:jc w:val="left"/>
              <w:textAlignment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1、应用企业资源计划系统、供应链管理系统、客户关系管理系统，每项1分，最高得3分</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eastAsia="zh-CN"/>
              </w:rPr>
              <w:t>3</w:t>
            </w:r>
            <w:r>
              <w:rPr>
                <w:rFonts w:hint="eastAsia" w:ascii="仿宋_GB2312" w:hAnsi="仿宋_GB2312" w:eastAsia="仿宋_GB2312" w:cs="仿宋_GB2312"/>
                <w:sz w:val="24"/>
                <w:highlight w:val="none"/>
              </w:rPr>
              <w:t>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color w:val="000000"/>
                <w:kern w:val="0"/>
                <w:sz w:val="24"/>
                <w:highlight w:val="none"/>
              </w:rPr>
            </w:pPr>
          </w:p>
        </w:tc>
        <w:tc>
          <w:tcPr>
            <w:tcW w:w="1086" w:type="pct"/>
            <w:vMerge w:val="continue"/>
            <w:vAlign w:val="center"/>
          </w:tcPr>
          <w:p>
            <w:pPr>
              <w:pStyle w:val="7"/>
              <w:widowControl/>
              <w:ind w:firstLine="0" w:firstLineChars="0"/>
              <w:jc w:val="left"/>
              <w:rPr>
                <w:rFonts w:hint="eastAsia" w:ascii="仿宋_GB2312" w:hAnsi="仿宋_GB2312" w:eastAsia="仿宋_GB2312" w:cs="仿宋_GB2312"/>
                <w:sz w:val="24"/>
                <w:highlight w:val="none"/>
              </w:rPr>
            </w:pPr>
          </w:p>
        </w:tc>
        <w:tc>
          <w:tcPr>
            <w:tcW w:w="1523" w:type="pct"/>
            <w:vAlign w:val="center"/>
          </w:tcPr>
          <w:p>
            <w:pPr>
              <w:widowControl/>
              <w:jc w:val="left"/>
              <w:textAlignment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sz w:val="24"/>
                <w:highlight w:val="none"/>
              </w:rPr>
              <w:t>2、应用产品全生命周期管理系统(PLM),将设计和工艺有效结合，保证产品信息从订单、设计、采购、生产、交付全过程受控，得4分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Merge w:val="continue"/>
            <w:vAlign w:val="center"/>
          </w:tcPr>
          <w:p>
            <w:pPr>
              <w:jc w:val="center"/>
              <w:rPr>
                <w:rFonts w:hint="eastAsia" w:ascii="仿宋_GB2312" w:hAnsi="仿宋_GB2312" w:eastAsia="仿宋_GB2312" w:cs="仿宋_GB2312"/>
                <w:color w:val="000000"/>
                <w:kern w:val="0"/>
                <w:sz w:val="24"/>
                <w:highlight w:val="none"/>
              </w:rPr>
            </w:pPr>
          </w:p>
        </w:tc>
        <w:tc>
          <w:tcPr>
            <w:tcW w:w="1086" w:type="pct"/>
            <w:vMerge w:val="continue"/>
            <w:vAlign w:val="center"/>
          </w:tcPr>
          <w:p>
            <w:pPr>
              <w:pStyle w:val="7"/>
              <w:widowControl/>
              <w:ind w:firstLine="0" w:firstLineChars="0"/>
              <w:jc w:val="left"/>
              <w:rPr>
                <w:rFonts w:hint="eastAsia" w:ascii="仿宋_GB2312" w:hAnsi="仿宋_GB2312" w:eastAsia="仿宋_GB2312" w:cs="仿宋_GB2312"/>
                <w:sz w:val="24"/>
                <w:highlight w:val="none"/>
              </w:rPr>
            </w:pPr>
          </w:p>
        </w:tc>
        <w:tc>
          <w:tcPr>
            <w:tcW w:w="1523" w:type="pct"/>
            <w:vAlign w:val="center"/>
          </w:tcPr>
          <w:p>
            <w:pPr>
              <w:jc w:val="left"/>
              <w:rPr>
                <w:rFonts w:hint="eastAsia" w:ascii="仿宋_GB2312" w:hAnsi="仿宋_GB2312" w:eastAsia="仿宋_GB2312" w:cs="仿宋_GB2312"/>
                <w:spacing w:val="6"/>
                <w:sz w:val="24"/>
                <w:szCs w:val="24"/>
                <w:highlight w:val="none"/>
                <w:lang w:eastAsia="zh-CN"/>
              </w:rPr>
            </w:pPr>
            <w:r>
              <w:rPr>
                <w:rFonts w:hint="eastAsia" w:ascii="仿宋_GB2312" w:hAnsi="仿宋_GB2312" w:eastAsia="仿宋_GB2312" w:cs="仿宋_GB2312"/>
                <w:sz w:val="24"/>
                <w:highlight w:val="none"/>
              </w:rPr>
              <w:t>3、应用仓储管理系统和智能仓储物流备，实现库存动态优化管理、自动化出入库与及时配送，得3分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3分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研发投入</w:t>
            </w:r>
          </w:p>
        </w:tc>
        <w:tc>
          <w:tcPr>
            <w:tcW w:w="1086" w:type="pct"/>
            <w:vAlign w:val="center"/>
          </w:tcPr>
          <w:p>
            <w:pPr>
              <w:pStyle w:val="7"/>
              <w:widowControl/>
              <w:ind w:firstLine="0" w:firstLineChars="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智能建造的研发投入。</w:t>
            </w:r>
          </w:p>
        </w:tc>
        <w:tc>
          <w:tcPr>
            <w:tcW w:w="1523" w:type="pc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智能建造的相关研发投入连续3年达到2000万以上的，得10分；研发投入连续3年达到1000-2000万的，得7-9分；年投入在500—1000万的，得5-7分；年投入在100-500万以下的，得1-4分；投入不足100万的，不得分。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10分</w:t>
            </w: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工程业绩</w:t>
            </w: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实施面积</w:t>
            </w:r>
          </w:p>
        </w:tc>
        <w:tc>
          <w:tcPr>
            <w:tcW w:w="1086"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color w:val="000000" w:themeColor="text1"/>
                <w:sz w:val="24"/>
                <w:highlight w:val="none"/>
                <w14:textFill>
                  <w14:solidFill>
                    <w14:schemeClr w14:val="tx1"/>
                  </w14:solidFill>
                </w14:textFill>
              </w:rPr>
              <w:t>近3年，独立承担智能建造相关工程项目深化设计、构件生产施工、总承包项目达到一定面积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c>
          <w:tcPr>
            <w:tcW w:w="1523" w:type="pc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深化设计总建筑面积达到10万㎡得1分；施工总面积达到10万㎡得1分；总承包项目面积达10万平米得1分；相同项目不叠加，以上三项每增加2万平米加1分，总得分不超过5分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部品部件生产机器人及智能施工设备</w:t>
            </w:r>
          </w:p>
        </w:tc>
        <w:tc>
          <w:tcPr>
            <w:tcW w:w="1086"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采用智能测量、智能检测、部品部件生产、工序施工和智能工程机械设备。</w:t>
            </w:r>
          </w:p>
        </w:tc>
        <w:tc>
          <w:tcPr>
            <w:tcW w:w="1523" w:type="pct"/>
            <w:vAlign w:val="center"/>
          </w:tcPr>
          <w:p>
            <w:pPr>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每采用一种智能生产或者施工设备得1分，总得分不超过5分</w:t>
            </w:r>
            <w:r>
              <w:rPr>
                <w:rFonts w:hint="eastAsia" w:ascii="仿宋_GB2312" w:hAnsi="仿宋_GB2312" w:eastAsia="仿宋_GB2312" w:cs="仿宋_GB2312"/>
                <w:sz w:val="24"/>
                <w:highlight w:val="none"/>
                <w:lang w:eastAsia="zh-CN"/>
              </w:rPr>
              <w:t>。</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54" w:type="pct"/>
            <w:gridSpan w:val="4"/>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基础评分合计</w:t>
            </w:r>
          </w:p>
        </w:tc>
        <w:tc>
          <w:tcPr>
            <w:tcW w:w="516" w:type="pct"/>
            <w:vAlign w:val="center"/>
          </w:tcPr>
          <w:p>
            <w:pPr>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100分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加分项</w:t>
            </w: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科技成果</w:t>
            </w:r>
          </w:p>
        </w:tc>
        <w:tc>
          <w:tcPr>
            <w:tcW w:w="1086"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取得国家级、省部级科技成果奖项；取得国家级、省部级专利、发明；发表专著、论文、报告等。</w:t>
            </w: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取得国家及奖项及相关科研成果每项得2分，省部级奖项每项得2分，至多得10分。</w:t>
            </w:r>
          </w:p>
        </w:tc>
        <w:tc>
          <w:tcPr>
            <w:tcW w:w="516"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eastAsia="zh-CN"/>
              </w:rPr>
              <w:t>1</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highlight w:val="none"/>
              </w:rPr>
              <w:t>分</w:t>
            </w:r>
          </w:p>
          <w:p>
            <w:pPr>
              <w:jc w:val="center"/>
              <w:rPr>
                <w:rFonts w:hint="eastAsia" w:ascii="仿宋_GB2312" w:hAnsi="仿宋_GB2312" w:eastAsia="仿宋_GB2312" w:cs="仿宋_GB2312"/>
                <w:sz w:val="24"/>
                <w:highlight w:val="none"/>
              </w:rPr>
            </w:pPr>
          </w:p>
        </w:tc>
        <w:tc>
          <w:tcPr>
            <w:tcW w:w="429" w:type="pct"/>
            <w:vAlign w:val="center"/>
          </w:tcPr>
          <w:p>
            <w:pP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 w:type="pct"/>
            <w:vMerge w:val="continue"/>
            <w:vAlign w:val="center"/>
          </w:tcPr>
          <w:p>
            <w:pPr>
              <w:jc w:val="center"/>
              <w:rPr>
                <w:rFonts w:hint="eastAsia" w:ascii="仿宋_GB2312" w:hAnsi="仿宋_GB2312" w:eastAsia="仿宋_GB2312" w:cs="仿宋_GB2312"/>
                <w:sz w:val="24"/>
                <w:highlight w:val="none"/>
              </w:rPr>
            </w:pPr>
          </w:p>
        </w:tc>
        <w:tc>
          <w:tcPr>
            <w:tcW w:w="725" w:type="pc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软件及生产设备国产化</w:t>
            </w:r>
          </w:p>
        </w:tc>
        <w:tc>
          <w:tcPr>
            <w:tcW w:w="1086"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使用自主可控内核开发的各种软件或者国产化的生产设备，并具备国内领先技术</w:t>
            </w:r>
          </w:p>
        </w:tc>
        <w:tc>
          <w:tcPr>
            <w:tcW w:w="1523" w:type="pct"/>
            <w:vAlign w:val="center"/>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使用自主可控内核开发的各种软件或者生产设备，每采用一种得2分，至多得10分。</w:t>
            </w:r>
          </w:p>
        </w:tc>
        <w:tc>
          <w:tcPr>
            <w:tcW w:w="516" w:type="pct"/>
            <w:vAlign w:val="center"/>
          </w:tcPr>
          <w:p>
            <w:pPr>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szCs w:val="24"/>
                <w:highlight w:val="none"/>
                <w:lang w:val="en-US" w:eastAsia="zh-CN"/>
              </w:rPr>
              <w:t>10分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54" w:type="pct"/>
            <w:gridSpan w:val="4"/>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加分</w:t>
            </w:r>
            <w:r>
              <w:rPr>
                <w:rFonts w:hint="eastAsia" w:ascii="仿宋_GB2312" w:hAnsi="仿宋_GB2312" w:eastAsia="仿宋_GB2312" w:cs="仿宋_GB2312"/>
                <w:sz w:val="24"/>
                <w:highlight w:val="none"/>
                <w:lang w:val="en-US" w:eastAsia="zh-CN"/>
              </w:rPr>
              <w:t>项</w:t>
            </w:r>
            <w:r>
              <w:rPr>
                <w:rFonts w:hint="eastAsia" w:ascii="仿宋_GB2312" w:hAnsi="仿宋_GB2312" w:eastAsia="仿宋_GB2312" w:cs="仿宋_GB2312"/>
                <w:sz w:val="24"/>
                <w:highlight w:val="none"/>
              </w:rPr>
              <w:t>合计</w:t>
            </w:r>
          </w:p>
        </w:tc>
        <w:tc>
          <w:tcPr>
            <w:tcW w:w="516" w:type="pct"/>
            <w:vAlign w:val="center"/>
          </w:tcPr>
          <w:p>
            <w:pPr>
              <w:jc w:val="center"/>
              <w:rPr>
                <w:rFonts w:hint="default" w:asciiTheme="minorHAnsi" w:hAnsiTheme="minorHAnsi" w:eastAsiaTheme="minorEastAsia" w:cstheme="minorBidi"/>
                <w:sz w:val="21"/>
              </w:rPr>
            </w:pPr>
            <w:r>
              <w:rPr>
                <w:rFonts w:hint="eastAsia" w:ascii="仿宋_GB2312" w:hAnsi="仿宋_GB2312" w:eastAsia="仿宋_GB2312" w:cs="仿宋_GB2312"/>
                <w:sz w:val="24"/>
                <w:szCs w:val="24"/>
                <w:highlight w:val="none"/>
                <w:lang w:val="en-US" w:eastAsia="zh-CN"/>
              </w:rPr>
              <w:t>20分</w:t>
            </w:r>
          </w:p>
        </w:tc>
        <w:tc>
          <w:tcPr>
            <w:tcW w:w="429" w:type="pct"/>
            <w:vAlign w:val="center"/>
          </w:tcPr>
          <w:p>
            <w:pPr>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54" w:type="pct"/>
            <w:gridSpan w:val="4"/>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总得分=基础分+加分</w:t>
            </w:r>
          </w:p>
        </w:tc>
        <w:tc>
          <w:tcPr>
            <w:tcW w:w="516" w:type="pct"/>
            <w:vAlign w:val="center"/>
          </w:tcPr>
          <w:p>
            <w:pPr>
              <w:jc w:val="center"/>
              <w:rPr>
                <w:rFonts w:hint="default" w:asciiTheme="minorHAnsi" w:hAnsiTheme="minorHAnsi" w:eastAsiaTheme="minorEastAsia" w:cstheme="minorBidi"/>
                <w:sz w:val="21"/>
              </w:rPr>
            </w:pPr>
            <w:r>
              <w:rPr>
                <w:rFonts w:hint="eastAsia" w:ascii="仿宋_GB2312" w:hAnsi="仿宋_GB2312" w:eastAsia="仿宋_GB2312" w:cs="仿宋_GB2312"/>
                <w:sz w:val="24"/>
                <w:highlight w:val="none"/>
                <w:lang w:eastAsia="zh-CN"/>
              </w:rPr>
              <w:t>1</w:t>
            </w:r>
            <w:r>
              <w:rPr>
                <w:rFonts w:hint="eastAsia" w:ascii="仿宋_GB2312" w:hAnsi="仿宋_GB2312" w:eastAsia="仿宋_GB2312" w:cs="仿宋_GB2312"/>
                <w:sz w:val="24"/>
                <w:highlight w:val="none"/>
                <w:lang w:val="en-US" w:eastAsia="zh-CN"/>
              </w:rPr>
              <w:t>20分</w:t>
            </w:r>
          </w:p>
        </w:tc>
        <w:tc>
          <w:tcPr>
            <w:tcW w:w="429" w:type="pct"/>
            <w:vAlign w:val="center"/>
          </w:tcPr>
          <w:p>
            <w:pPr>
              <w:jc w:val="center"/>
              <w:rPr>
                <w:rFonts w:hint="eastAsia" w:ascii="仿宋_GB2312" w:hAnsi="仿宋_GB2312" w:eastAsia="仿宋_GB2312" w:cs="仿宋_GB2312"/>
                <w:sz w:val="24"/>
                <w:highlight w:val="none"/>
              </w:rPr>
            </w:pP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B686F"/>
    <w:rsid w:val="09AB686F"/>
    <w:rsid w:val="347B4D9B"/>
    <w:rsid w:val="3F854FDA"/>
    <w:rsid w:val="573339EA"/>
    <w:rsid w:val="6F983FFC"/>
    <w:rsid w:val="7590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2023-04-12T09:24:00Z</dcterms:created>
  <dc:creator>谢锦波</dc:creator>
  <cp:lastModifiedBy>谢锦波</cp:lastModifiedBy>
  <dcterms:modified xsi:type="dcterms:W3CDTF">2023-04-12T09:25:14Z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