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adjustRightInd w:val="0"/>
        <w:snapToGrid w:val="0"/>
        <w:spacing w:line="480" w:lineRule="exact"/>
        <w:jc w:val="center"/>
        <w:rPr>
          <w:rFonts w:hint="eastAsia" w:eastAsia="方正小标宋_GBK"/>
          <w:sz w:val="44"/>
          <w:szCs w:val="44"/>
        </w:rPr>
      </w:pPr>
    </w:p>
    <w:p>
      <w:pPr>
        <w:adjustRightInd w:val="0"/>
        <w:snapToGrid w:val="0"/>
        <w:spacing w:line="480" w:lineRule="exact"/>
        <w:jc w:val="center"/>
        <w:rPr>
          <w:rFonts w:eastAsia="方正小标宋_GBK"/>
          <w:sz w:val="44"/>
          <w:szCs w:val="44"/>
        </w:rPr>
      </w:pPr>
      <w:r>
        <w:rPr>
          <w:rFonts w:hint="eastAsia" w:eastAsia="方正小标宋_GBK"/>
          <w:sz w:val="44"/>
          <w:szCs w:val="44"/>
        </w:rPr>
        <w:t>重庆市装配式建筑装配率计算细则（</w:t>
      </w:r>
      <w:r>
        <w:rPr>
          <w:rFonts w:eastAsia="方正小标宋_GBK"/>
          <w:sz w:val="44"/>
          <w:szCs w:val="44"/>
        </w:rPr>
        <w:t>2023</w:t>
      </w:r>
      <w:r>
        <w:rPr>
          <w:rFonts w:hint="eastAsia" w:eastAsia="方正小标宋_GBK"/>
          <w:sz w:val="44"/>
          <w:szCs w:val="44"/>
        </w:rPr>
        <w:t>版）</w:t>
      </w:r>
    </w:p>
    <w:p>
      <w:pPr>
        <w:pStyle w:val="2"/>
        <w:spacing w:after="0"/>
        <w:jc w:val="center"/>
      </w:pPr>
      <w:r>
        <w:t xml:space="preserve"> </w:t>
      </w:r>
    </w:p>
    <w:p>
      <w:pPr>
        <w:pStyle w:val="3"/>
        <w:widowControl w:val="0"/>
        <w:numPr>
          <w:ilvl w:val="0"/>
          <w:numId w:val="1"/>
        </w:numPr>
        <w:adjustRightInd w:val="0"/>
        <w:snapToGrid w:val="0"/>
        <w:ind w:firstLine="640" w:firstLineChars="200"/>
        <w:jc w:val="both"/>
        <w:rPr>
          <w:rFonts w:ascii="Times New Roman" w:hAnsi="Times New Roman"/>
        </w:rPr>
      </w:pPr>
      <w:r>
        <w:rPr>
          <w:rFonts w:hint="eastAsia" w:ascii="Times New Roman" w:hAnsi="Times New Roman"/>
        </w:rPr>
        <w:t>基本规定</w:t>
      </w:r>
    </w:p>
    <w:p>
      <w:pPr>
        <w:adjustRightInd w:val="0"/>
        <w:snapToGrid w:val="0"/>
        <w:spacing w:line="500" w:lineRule="exact"/>
        <w:ind w:firstLine="640" w:firstLineChars="200"/>
        <w:rPr>
          <w:rFonts w:eastAsia="方正楷体_GBK"/>
          <w:kern w:val="0"/>
        </w:rPr>
      </w:pPr>
      <w:r>
        <w:rPr>
          <w:rFonts w:hint="eastAsia" w:eastAsia="方正楷体_GBK"/>
          <w:kern w:val="0"/>
        </w:rPr>
        <w:t>（一）适用范围</w:t>
      </w:r>
    </w:p>
    <w:p>
      <w:pPr>
        <w:adjustRightInd w:val="0"/>
        <w:snapToGrid w:val="0"/>
        <w:spacing w:line="500" w:lineRule="exact"/>
        <w:ind w:firstLine="640" w:firstLineChars="200"/>
        <w:rPr>
          <w:rFonts w:eastAsia="方正仿宋_GBK"/>
        </w:rPr>
      </w:pPr>
      <w:r>
        <w:rPr>
          <w:rFonts w:hint="eastAsia" w:eastAsia="方正仿宋_GBK"/>
          <w:kern w:val="0"/>
        </w:rPr>
        <w:t>《重庆市装配式建筑装配率计算细则（</w:t>
      </w:r>
      <w:r>
        <w:rPr>
          <w:rFonts w:eastAsia="方正仿宋_GBK"/>
          <w:kern w:val="0"/>
        </w:rPr>
        <w:t>2023</w:t>
      </w:r>
      <w:r>
        <w:rPr>
          <w:rFonts w:hint="eastAsia" w:eastAsia="方正仿宋_GBK"/>
          <w:kern w:val="0"/>
        </w:rPr>
        <w:t>版）》（以下简称《</w:t>
      </w:r>
      <w:r>
        <w:rPr>
          <w:rFonts w:hint="eastAsia" w:eastAsia="方正仿宋_GBK"/>
        </w:rPr>
        <w:t>细则</w:t>
      </w:r>
      <w:r>
        <w:rPr>
          <w:rFonts w:hint="eastAsia" w:eastAsia="方正仿宋_GBK"/>
          <w:kern w:val="0"/>
        </w:rPr>
        <w:t>（</w:t>
      </w:r>
      <w:r>
        <w:rPr>
          <w:rFonts w:eastAsia="方正仿宋_GBK"/>
          <w:kern w:val="0"/>
        </w:rPr>
        <w:t>2023</w:t>
      </w:r>
      <w:r>
        <w:rPr>
          <w:rFonts w:hint="eastAsia" w:eastAsia="方正仿宋_GBK"/>
          <w:kern w:val="0"/>
        </w:rPr>
        <w:t>版）》</w:t>
      </w:r>
      <w:r>
        <w:rPr>
          <w:rFonts w:hint="eastAsia" w:eastAsia="方正仿宋_GBK"/>
        </w:rPr>
        <w:t>）适用于装配式混凝土结构、装配式钢结构、装配式钢</w:t>
      </w:r>
      <w:r>
        <w:rPr>
          <w:rFonts w:eastAsia="方正仿宋_GBK"/>
        </w:rPr>
        <w:t>-</w:t>
      </w:r>
      <w:r>
        <w:rPr>
          <w:rFonts w:hint="eastAsia" w:eastAsia="方正仿宋_GBK"/>
        </w:rPr>
        <w:t>混凝土组合结构、装配式木结构等工业与民用建筑装配率计算。</w:t>
      </w:r>
    </w:p>
    <w:p>
      <w:pPr>
        <w:adjustRightInd w:val="0"/>
        <w:snapToGrid w:val="0"/>
        <w:spacing w:line="500" w:lineRule="exact"/>
        <w:ind w:firstLine="640" w:firstLineChars="200"/>
        <w:rPr>
          <w:rFonts w:eastAsia="方正楷体_GBK"/>
          <w:kern w:val="0"/>
        </w:rPr>
      </w:pPr>
      <w:r>
        <w:rPr>
          <w:rFonts w:hint="eastAsia" w:eastAsia="方正楷体_GBK"/>
          <w:kern w:val="0"/>
        </w:rPr>
        <w:t>（二）一般规定</w:t>
      </w:r>
    </w:p>
    <w:p>
      <w:pPr>
        <w:adjustRightInd w:val="0"/>
        <w:snapToGrid w:val="0"/>
        <w:spacing w:line="500" w:lineRule="exact"/>
        <w:ind w:firstLine="640" w:firstLineChars="200"/>
        <w:rPr>
          <w:rFonts w:eastAsia="方正仿宋_GBK"/>
        </w:rPr>
      </w:pPr>
      <w:r>
        <w:rPr>
          <w:rFonts w:eastAsia="方正仿宋_GBK"/>
        </w:rPr>
        <w:t>1</w:t>
      </w:r>
      <w:r>
        <w:rPr>
          <w:rFonts w:hint="eastAsia" w:eastAsia="方正仿宋_GBK"/>
        </w:rPr>
        <w:t>．装配率是指单体建筑正负零标高以上主体结构、围护墙和内隔墙、装修和设备管线系统采用预制部品部件的综合比例。装配率是我市评价装配式建筑的唯一定量指标。</w:t>
      </w:r>
    </w:p>
    <w:p>
      <w:pPr>
        <w:adjustRightInd w:val="0"/>
        <w:snapToGrid w:val="0"/>
        <w:spacing w:line="500" w:lineRule="exact"/>
        <w:ind w:firstLine="640" w:firstLineChars="200"/>
        <w:rPr>
          <w:rFonts w:eastAsia="方正仿宋_GBK"/>
        </w:rPr>
      </w:pPr>
      <w:r>
        <w:rPr>
          <w:rFonts w:eastAsia="方正仿宋_GBK"/>
        </w:rPr>
        <w:t>2</w:t>
      </w:r>
      <w:r>
        <w:rPr>
          <w:rFonts w:hint="eastAsia" w:eastAsia="方正仿宋_GBK"/>
        </w:rPr>
        <w:t>．装配率计算应以单体建筑作为计算单元，并应符合下列规定：</w:t>
      </w:r>
    </w:p>
    <w:p>
      <w:pPr>
        <w:adjustRightInd w:val="0"/>
        <w:snapToGrid w:val="0"/>
        <w:spacing w:line="500" w:lineRule="exact"/>
        <w:ind w:firstLine="640" w:firstLineChars="200"/>
        <w:rPr>
          <w:rFonts w:eastAsia="方正仿宋_GBK"/>
        </w:rPr>
      </w:pPr>
      <w:r>
        <w:rPr>
          <w:rFonts w:hint="eastAsia" w:eastAsia="方正仿宋_GBK"/>
        </w:rPr>
        <w:t>（</w:t>
      </w:r>
      <w:r>
        <w:rPr>
          <w:rFonts w:eastAsia="方正仿宋_GBK"/>
        </w:rPr>
        <w:t>1</w:t>
      </w:r>
      <w:r>
        <w:rPr>
          <w:rFonts w:hint="eastAsia" w:eastAsia="方正仿宋_GBK"/>
        </w:rPr>
        <w:t>）单体建筑应按项目规划批准文件的建筑编号确认。</w:t>
      </w:r>
    </w:p>
    <w:p>
      <w:pPr>
        <w:adjustRightInd w:val="0"/>
        <w:snapToGrid w:val="0"/>
        <w:spacing w:line="500" w:lineRule="exact"/>
        <w:ind w:firstLine="640" w:firstLineChars="200"/>
        <w:rPr>
          <w:rFonts w:eastAsia="方正仿宋_GBK"/>
        </w:rPr>
      </w:pPr>
      <w:r>
        <w:rPr>
          <w:rFonts w:hint="eastAsia" w:eastAsia="方正仿宋_GBK"/>
        </w:rPr>
        <w:t>（</w:t>
      </w:r>
      <w:r>
        <w:rPr>
          <w:rFonts w:eastAsia="方正仿宋_GBK"/>
        </w:rPr>
        <w:t>2</w:t>
      </w:r>
      <w:r>
        <w:rPr>
          <w:rFonts w:hint="eastAsia" w:eastAsia="方正仿宋_GBK"/>
        </w:rPr>
        <w:t>）单体建筑应根据建筑类别选择居住建筑、公共建筑或工业建筑其中之一整体计算装配率；当单体建筑部分区域存在不同建筑功能或结构形式时，可分区域计算装配率再按建筑面积加权平均。</w:t>
      </w:r>
    </w:p>
    <w:p>
      <w:pPr>
        <w:adjustRightInd w:val="0"/>
        <w:snapToGrid w:val="0"/>
        <w:spacing w:line="500" w:lineRule="exact"/>
        <w:ind w:firstLine="640" w:firstLineChars="200"/>
        <w:rPr>
          <w:rFonts w:eastAsia="方正仿宋_GBK"/>
        </w:rPr>
      </w:pPr>
      <w:r>
        <w:rPr>
          <w:rFonts w:hint="eastAsia" w:eastAsia="方正仿宋_GBK"/>
        </w:rPr>
        <w:t>（</w:t>
      </w:r>
      <w:r>
        <w:rPr>
          <w:rFonts w:eastAsia="方正仿宋_GBK"/>
        </w:rPr>
        <w:t>3</w:t>
      </w:r>
      <w:r>
        <w:rPr>
          <w:rFonts w:hint="eastAsia" w:eastAsia="方正仿宋_GBK"/>
        </w:rPr>
        <w:t>）居住建筑采用框架、框架</w:t>
      </w:r>
      <w:r>
        <w:rPr>
          <w:rFonts w:eastAsia="方正仿宋_GBK"/>
        </w:rPr>
        <w:t>-</w:t>
      </w:r>
      <w:r>
        <w:rPr>
          <w:rFonts w:hint="eastAsia" w:eastAsia="方正仿宋_GBK"/>
        </w:rPr>
        <w:t>剪力墙、短肢剪力墙结构时，主体结构部分允许套用公共建筑计分规则；公共建筑采用剪力墙结构时，主体结构部分允许套用居住建筑计分规则。</w:t>
      </w:r>
    </w:p>
    <w:p>
      <w:pPr>
        <w:adjustRightInd w:val="0"/>
        <w:snapToGrid w:val="0"/>
        <w:spacing w:line="500" w:lineRule="exact"/>
        <w:ind w:firstLine="640" w:firstLineChars="200"/>
        <w:rPr>
          <w:rFonts w:eastAsia="方正仿宋_GBK"/>
        </w:rPr>
      </w:pPr>
      <w:r>
        <w:rPr>
          <w:rFonts w:eastAsia="方正仿宋_GBK"/>
        </w:rPr>
        <w:t>3</w:t>
      </w:r>
      <w:r>
        <w:rPr>
          <w:rFonts w:hint="eastAsia" w:eastAsia="方正仿宋_GBK"/>
        </w:rPr>
        <w:t>．单体建筑装配率计算范围应符合下列规定：</w:t>
      </w:r>
    </w:p>
    <w:p>
      <w:pPr>
        <w:adjustRightInd w:val="0"/>
        <w:snapToGrid w:val="0"/>
        <w:spacing w:line="500" w:lineRule="exact"/>
        <w:ind w:firstLine="640" w:firstLineChars="200"/>
        <w:rPr>
          <w:rFonts w:eastAsia="方正仿宋_GBK"/>
        </w:rPr>
      </w:pPr>
      <w:r>
        <w:rPr>
          <w:rFonts w:hint="eastAsia" w:eastAsia="方正仿宋_GBK"/>
        </w:rPr>
        <w:t>（</w:t>
      </w:r>
      <w:r>
        <w:rPr>
          <w:rFonts w:eastAsia="方正仿宋_GBK"/>
        </w:rPr>
        <w:t>1</w:t>
      </w:r>
      <w:r>
        <w:rPr>
          <w:rFonts w:hint="eastAsia" w:eastAsia="方正仿宋_GBK"/>
        </w:rPr>
        <w:t>）单体建筑装配率计算范围取正负零标高以上部分。</w:t>
      </w:r>
    </w:p>
    <w:p>
      <w:pPr>
        <w:adjustRightInd w:val="0"/>
        <w:snapToGrid w:val="0"/>
        <w:spacing w:line="500" w:lineRule="exact"/>
        <w:ind w:firstLine="640" w:firstLineChars="200"/>
        <w:rPr>
          <w:rFonts w:eastAsia="方正仿宋_GBK"/>
        </w:rPr>
      </w:pPr>
      <w:r>
        <w:rPr>
          <w:rFonts w:hint="eastAsia" w:eastAsia="方正仿宋_GBK"/>
        </w:rPr>
        <w:t>（</w:t>
      </w:r>
      <w:r>
        <w:rPr>
          <w:rFonts w:eastAsia="方正仿宋_GBK"/>
        </w:rPr>
        <w:t>2</w:t>
      </w:r>
      <w:r>
        <w:rPr>
          <w:rFonts w:hint="eastAsia" w:eastAsia="方正仿宋_GBK"/>
        </w:rPr>
        <w:t>）屋面层以上的楼梯间、电梯机房、设备间等可不列入计算范围。</w:t>
      </w:r>
    </w:p>
    <w:p>
      <w:pPr>
        <w:adjustRightInd w:val="0"/>
        <w:snapToGrid w:val="0"/>
        <w:spacing w:line="500" w:lineRule="exact"/>
        <w:ind w:firstLine="640" w:firstLineChars="200"/>
        <w:rPr>
          <w:rFonts w:eastAsia="方正仿宋_GBK"/>
        </w:rPr>
      </w:pPr>
      <w:r>
        <w:rPr>
          <w:rFonts w:hint="eastAsia" w:eastAsia="方正仿宋_GBK"/>
        </w:rPr>
        <w:t>（</w:t>
      </w:r>
      <w:r>
        <w:rPr>
          <w:rFonts w:eastAsia="方正仿宋_GBK"/>
        </w:rPr>
        <w:t>3</w:t>
      </w:r>
      <w:r>
        <w:rPr>
          <w:rFonts w:hint="eastAsia" w:eastAsia="方正仿宋_GBK"/>
        </w:rPr>
        <w:t>）装配式混凝土结构其主体结构计算范围可扣除以下部位：框架结构首层柱，剪力墙结构底部加强部位竖向构件，部分框支剪力墙结构底部加强部位高度范围内全部结构，</w:t>
      </w:r>
      <w:r>
        <w:rPr>
          <w:rFonts w:hint="eastAsia" w:eastAsia="方正仿宋_GBK"/>
          <w:lang w:val="en-US" w:eastAsia="zh-CN"/>
        </w:rPr>
        <w:t>筒体结构</w:t>
      </w:r>
      <w:r>
        <w:rPr>
          <w:rFonts w:hint="eastAsia" w:eastAsia="方正仿宋_GBK"/>
        </w:rPr>
        <w:t>托柱转换层及相邻层全部结构，框架</w:t>
      </w:r>
      <w:r>
        <w:rPr>
          <w:rFonts w:eastAsia="方正仿宋_GBK"/>
        </w:rPr>
        <w:t>-</w:t>
      </w:r>
      <w:r>
        <w:rPr>
          <w:rFonts w:hint="eastAsia" w:eastAsia="方正仿宋_GBK"/>
        </w:rPr>
        <w:t>剪力墙结构中的剪力墙，框架</w:t>
      </w:r>
      <w:r>
        <w:rPr>
          <w:rFonts w:eastAsia="方正仿宋_GBK"/>
        </w:rPr>
        <w:t>-</w:t>
      </w:r>
      <w:r>
        <w:rPr>
          <w:rFonts w:hint="eastAsia" w:eastAsia="方正仿宋_GBK"/>
        </w:rPr>
        <w:t>核心筒结构中的核心筒，吊脚结构首层楼盖及以下全部结构，掉层结构的上接地层楼盖（或上接地端楼盖）及以下全部结构。</w:t>
      </w:r>
    </w:p>
    <w:p>
      <w:pPr>
        <w:adjustRightInd w:val="0"/>
        <w:snapToGrid w:val="0"/>
        <w:spacing w:line="500" w:lineRule="exact"/>
        <w:ind w:firstLine="640" w:firstLineChars="200"/>
        <w:rPr>
          <w:rFonts w:eastAsia="方正仿宋_GBK"/>
        </w:rPr>
      </w:pPr>
      <w:r>
        <w:rPr>
          <w:rFonts w:eastAsia="方正仿宋_GBK"/>
        </w:rPr>
        <w:t>4</w:t>
      </w:r>
      <w:r>
        <w:rPr>
          <w:rFonts w:hint="eastAsia" w:eastAsia="方正仿宋_GBK"/>
        </w:rPr>
        <w:t>．特殊类型公共建筑（如体育场馆、交通枢纽等），因平面异形、结构抗震超限等客观原因，其主体结构计算</w:t>
      </w:r>
      <w:r>
        <w:rPr>
          <w:rFonts w:hint="eastAsia" w:eastAsia="方正仿宋_GBK"/>
          <w:lang w:val="en-US" w:eastAsia="zh-CN"/>
        </w:rPr>
        <w:t>项目</w:t>
      </w:r>
      <w:r>
        <w:rPr>
          <w:rFonts w:hint="eastAsia" w:eastAsia="方正仿宋_GBK"/>
        </w:rPr>
        <w:t>无法</w:t>
      </w:r>
      <w:r>
        <w:rPr>
          <w:rFonts w:hint="eastAsia" w:eastAsia="方正仿宋_GBK"/>
          <w:lang w:val="en-US" w:eastAsia="zh-CN"/>
        </w:rPr>
        <w:t>达到指标</w:t>
      </w:r>
      <w:r>
        <w:rPr>
          <w:rFonts w:hint="eastAsia" w:eastAsia="方正仿宋_GBK"/>
        </w:rPr>
        <w:t>要求</w:t>
      </w:r>
      <w:r>
        <w:rPr>
          <w:rFonts w:hint="eastAsia" w:eastAsia="方正仿宋_GBK"/>
          <w:lang w:val="en-US" w:eastAsia="zh-CN"/>
        </w:rPr>
        <w:t>最低比例</w:t>
      </w:r>
      <w:r>
        <w:rPr>
          <w:rFonts w:hint="eastAsia" w:eastAsia="方正仿宋_GBK"/>
        </w:rPr>
        <w:t>时，允许通过正负零标高以下结构中的同类型预制构件进行等量补充（或替换），或通过提高工业化装修实施要求，相应</w:t>
      </w:r>
      <w:r>
        <w:rPr>
          <w:rFonts w:hint="eastAsia" w:eastAsia="方正仿宋_GBK"/>
          <w:lang w:val="en-US" w:eastAsia="zh-CN"/>
        </w:rPr>
        <w:t>补充</w:t>
      </w:r>
      <w:r>
        <w:rPr>
          <w:rFonts w:hint="eastAsia" w:eastAsia="方正仿宋_GBK"/>
        </w:rPr>
        <w:t>（或替换）主体结构分值。</w:t>
      </w:r>
    </w:p>
    <w:p>
      <w:pPr>
        <w:adjustRightInd w:val="0"/>
        <w:snapToGrid w:val="0"/>
        <w:spacing w:line="500" w:lineRule="exact"/>
        <w:ind w:firstLine="640" w:firstLineChars="200"/>
        <w:rPr>
          <w:rFonts w:eastAsia="方正仿宋_GBK"/>
        </w:rPr>
      </w:pPr>
      <w:r>
        <w:rPr>
          <w:rFonts w:eastAsia="方正仿宋_GBK"/>
        </w:rPr>
        <w:t>5</w:t>
      </w:r>
      <w:r>
        <w:rPr>
          <w:rFonts w:hint="eastAsia" w:eastAsia="方正仿宋_GBK"/>
        </w:rPr>
        <w:t>．当采用未包含在计算细则规定范围内的装配式建筑新技术、新工艺时，可由市住房城乡建委组织专家论证确定指标要求、计算方式和计算分值。</w:t>
      </w:r>
    </w:p>
    <w:p>
      <w:pPr>
        <w:adjustRightInd w:val="0"/>
        <w:snapToGrid w:val="0"/>
        <w:spacing w:line="500" w:lineRule="exact"/>
        <w:ind w:firstLine="640" w:firstLineChars="200"/>
        <w:rPr>
          <w:rFonts w:eastAsia="方正楷体_GBK"/>
          <w:kern w:val="0"/>
        </w:rPr>
      </w:pPr>
      <w:r>
        <w:rPr>
          <w:rFonts w:hint="eastAsia" w:eastAsia="方正楷体_GBK"/>
          <w:kern w:val="0"/>
        </w:rPr>
        <w:t>（三）满足下列要求时方可评价为装配式建筑</w:t>
      </w:r>
    </w:p>
    <w:p>
      <w:pPr>
        <w:adjustRightInd w:val="0"/>
        <w:snapToGrid w:val="0"/>
        <w:spacing w:line="500" w:lineRule="exact"/>
        <w:ind w:firstLine="640" w:firstLineChars="200"/>
        <w:rPr>
          <w:rFonts w:eastAsia="方正仿宋_GBK"/>
        </w:rPr>
      </w:pPr>
      <w:r>
        <w:rPr>
          <w:rFonts w:eastAsia="方正仿宋_GBK"/>
        </w:rPr>
        <w:t>1</w:t>
      </w:r>
      <w:r>
        <w:rPr>
          <w:rFonts w:hint="eastAsia" w:eastAsia="方正仿宋_GBK"/>
        </w:rPr>
        <w:t>．计分表各计算项目的</w:t>
      </w:r>
      <w:r>
        <w:rPr>
          <w:rFonts w:hint="eastAsia" w:eastAsia="方正仿宋_GBK"/>
          <w:lang w:val="en-US" w:eastAsia="zh-CN"/>
        </w:rPr>
        <w:t>实际</w:t>
      </w:r>
      <w:r>
        <w:rPr>
          <w:rFonts w:hint="eastAsia" w:eastAsia="方正仿宋_GBK"/>
        </w:rPr>
        <w:t>计算分值不低于最低分值要求；</w:t>
      </w:r>
    </w:p>
    <w:p>
      <w:pPr>
        <w:adjustRightInd w:val="0"/>
        <w:snapToGrid w:val="0"/>
        <w:spacing w:line="500" w:lineRule="exact"/>
        <w:ind w:firstLine="640" w:firstLineChars="200"/>
        <w:rPr>
          <w:rFonts w:eastAsia="方正仿宋_GBK"/>
          <w:highlight w:val="none"/>
        </w:rPr>
      </w:pPr>
      <w:r>
        <w:rPr>
          <w:rFonts w:eastAsia="方正仿宋_GBK"/>
          <w:highlight w:val="none"/>
        </w:rPr>
        <w:t>2</w:t>
      </w:r>
      <w:r>
        <w:rPr>
          <w:rFonts w:hint="eastAsia" w:eastAsia="方正仿宋_GBK"/>
          <w:highlight w:val="none"/>
        </w:rPr>
        <w:t>．采用全装修；</w:t>
      </w:r>
    </w:p>
    <w:p>
      <w:pPr>
        <w:adjustRightInd w:val="0"/>
        <w:snapToGrid w:val="0"/>
        <w:spacing w:line="500" w:lineRule="exact"/>
        <w:ind w:firstLine="640" w:firstLineChars="200"/>
        <w:rPr>
          <w:rFonts w:eastAsia="方正仿宋_GBK"/>
        </w:rPr>
      </w:pPr>
      <w:r>
        <w:rPr>
          <w:rFonts w:eastAsia="方正仿宋_GBK"/>
        </w:rPr>
        <w:t>3</w:t>
      </w:r>
      <w:r>
        <w:rPr>
          <w:rFonts w:hint="eastAsia" w:eastAsia="方正仿宋_GBK"/>
        </w:rPr>
        <w:t>．装配率不低于</w:t>
      </w:r>
      <w:r>
        <w:rPr>
          <w:rFonts w:eastAsia="方正仿宋_GBK"/>
        </w:rPr>
        <w:t>50%</w:t>
      </w:r>
      <w:r>
        <w:rPr>
          <w:rFonts w:hint="eastAsia" w:eastAsia="方正仿宋_GBK"/>
        </w:rPr>
        <w:t>。</w:t>
      </w:r>
    </w:p>
    <w:p>
      <w:pPr>
        <w:adjustRightInd w:val="0"/>
        <w:snapToGrid w:val="0"/>
        <w:spacing w:line="500" w:lineRule="exact"/>
        <w:ind w:firstLine="640" w:firstLineChars="200"/>
        <w:rPr>
          <w:rFonts w:eastAsia="方正楷体_GBK"/>
          <w:kern w:val="0"/>
        </w:rPr>
      </w:pPr>
      <w:r>
        <w:rPr>
          <w:rFonts w:hint="eastAsia" w:eastAsia="方正楷体_GBK"/>
          <w:kern w:val="0"/>
        </w:rPr>
        <w:t>（四）单体建筑装配率应按下式计算：</w:t>
      </w:r>
    </w:p>
    <w:p>
      <w:pPr>
        <w:tabs>
          <w:tab w:val="left" w:pos="8225"/>
        </w:tabs>
        <w:adjustRightInd w:val="0"/>
        <w:snapToGrid w:val="0"/>
        <w:spacing w:line="500" w:lineRule="exact"/>
        <w:ind w:firstLine="640" w:firstLineChars="200"/>
        <w:rPr>
          <w:rFonts w:eastAsia="方正仿宋_GBK"/>
        </w:rPr>
      </w:pPr>
      <w:r>
        <w:rPr>
          <w:rFonts w:eastAsia="方正仿宋_GBK"/>
          <w:position w:val="-30"/>
        </w:rPr>
        <w:pict>
          <v:shape id="Object 2" o:spid="_x0000_s1028" o:spt="75" type="#_x0000_t75" style="position:absolute;left:0pt;margin-left:79pt;margin-top:6.75pt;height:60.7pt;width:291.65pt;mso-wrap-distance-bottom:0pt;mso-wrap-distance-top:0pt;z-index:251661312;mso-width-relative:page;mso-height-relative:page;" o:ole="t" filled="f" o:preferrelative="t" stroked="f" coordsize="21600,21600">
            <v:path/>
            <v:fill on="f" focussize="0,0"/>
            <v:stroke on="f" joinstyle="miter"/>
            <v:imagedata r:id="rId7" o:title=""/>
            <o:lock v:ext="edit" aspectratio="t"/>
            <w10:wrap type="topAndBottom"/>
          </v:shape>
          <o:OLEObject Type="Embed" ProgID="Equation.3" ShapeID="Object 2" DrawAspect="Content" ObjectID="_1468075725" r:id="rId6">
            <o:LockedField>false</o:LockedField>
          </o:OLEObject>
        </w:pict>
      </w:r>
      <w:r>
        <w:rPr>
          <w:rFonts w:hint="eastAsia" w:eastAsia="方正仿宋_GBK"/>
        </w:rPr>
        <w:t>式中：</w:t>
      </w:r>
      <w:r>
        <w:rPr>
          <w:i/>
          <w:iCs/>
        </w:rPr>
        <w:t>P</w:t>
      </w:r>
      <w:r>
        <w:rPr>
          <w:rFonts w:hint="eastAsia" w:eastAsia="方正仿宋_GBK"/>
        </w:rPr>
        <w:t>──装配率；</w:t>
      </w:r>
      <w:r>
        <w:rPr>
          <w:rFonts w:eastAsia="方正仿宋_GBK"/>
        </w:rPr>
        <w:tab/>
      </w:r>
    </w:p>
    <w:p>
      <w:pPr>
        <w:tabs>
          <w:tab w:val="left" w:pos="7979"/>
        </w:tabs>
        <w:adjustRightInd w:val="0"/>
        <w:snapToGrid w:val="0"/>
        <w:spacing w:line="500" w:lineRule="exact"/>
        <w:ind w:firstLine="1600" w:firstLineChars="500"/>
        <w:rPr>
          <w:i/>
          <w:iCs/>
        </w:rPr>
      </w:pPr>
      <w:r>
        <w:rPr>
          <w:i/>
          <w:iCs/>
        </w:rPr>
        <w:t>Q</w:t>
      </w:r>
      <w:r>
        <w:rPr>
          <w:vertAlign w:val="subscript"/>
        </w:rPr>
        <w:t>1</w:t>
      </w:r>
      <w:r>
        <w:rPr>
          <w:rFonts w:hint="eastAsia" w:eastAsia="方正仿宋_GBK"/>
        </w:rPr>
        <w:t>──标准化设计指标实际计算分值；</w:t>
      </w:r>
    </w:p>
    <w:p>
      <w:pPr>
        <w:tabs>
          <w:tab w:val="left" w:pos="7979"/>
        </w:tabs>
        <w:adjustRightInd w:val="0"/>
        <w:snapToGrid w:val="0"/>
        <w:spacing w:line="500" w:lineRule="exact"/>
        <w:ind w:firstLine="1600" w:firstLineChars="500"/>
        <w:rPr>
          <w:rFonts w:eastAsia="方正仿宋_GBK"/>
        </w:rPr>
      </w:pPr>
      <w:r>
        <w:rPr>
          <w:i/>
          <w:iCs/>
        </w:rPr>
        <w:t>Q</w:t>
      </w:r>
      <w:r>
        <w:rPr>
          <w:vertAlign w:val="subscript"/>
        </w:rPr>
        <w:t>2</w:t>
      </w:r>
      <w:r>
        <w:rPr>
          <w:rFonts w:hint="eastAsia" w:eastAsia="方正仿宋_GBK"/>
        </w:rPr>
        <w:t>──主体结构指标实际计算分值；</w:t>
      </w:r>
    </w:p>
    <w:p>
      <w:pPr>
        <w:tabs>
          <w:tab w:val="left" w:pos="7979"/>
        </w:tabs>
        <w:adjustRightInd w:val="0"/>
        <w:snapToGrid w:val="0"/>
        <w:spacing w:line="500" w:lineRule="exact"/>
        <w:ind w:firstLine="1600" w:firstLineChars="500"/>
        <w:rPr>
          <w:rFonts w:eastAsia="方正仿宋_GBK"/>
        </w:rPr>
      </w:pPr>
      <w:r>
        <w:rPr>
          <w:i/>
          <w:iCs/>
        </w:rPr>
        <w:t>Q</w:t>
      </w:r>
      <w:r>
        <w:rPr>
          <w:i/>
          <w:iCs/>
          <w:vertAlign w:val="subscript"/>
        </w:rPr>
        <w:t>3</w:t>
      </w:r>
      <w:r>
        <w:rPr>
          <w:rFonts w:hint="eastAsia" w:eastAsia="方正仿宋_GBK"/>
        </w:rPr>
        <w:t>──围护墙和内隔墙指标实际计算分值；</w:t>
      </w:r>
    </w:p>
    <w:p>
      <w:pPr>
        <w:adjustRightInd w:val="0"/>
        <w:snapToGrid w:val="0"/>
        <w:spacing w:line="500" w:lineRule="exact"/>
        <w:ind w:firstLine="1600" w:firstLineChars="500"/>
        <w:rPr>
          <w:rFonts w:eastAsia="方正仿宋_GBK"/>
        </w:rPr>
      </w:pPr>
      <w:r>
        <w:rPr>
          <w:i/>
          <w:iCs/>
        </w:rPr>
        <w:t>Q</w:t>
      </w:r>
      <w:r>
        <w:rPr>
          <w:i/>
          <w:iCs/>
          <w:vertAlign w:val="subscript"/>
        </w:rPr>
        <w:t>4</w:t>
      </w:r>
      <w:r>
        <w:rPr>
          <w:rFonts w:hint="eastAsia" w:eastAsia="方正仿宋_GBK"/>
        </w:rPr>
        <w:t>──装修和设备管线指标实际计算分值；</w:t>
      </w:r>
    </w:p>
    <w:p>
      <w:pPr>
        <w:adjustRightInd w:val="0"/>
        <w:snapToGrid w:val="0"/>
        <w:spacing w:line="500" w:lineRule="exact"/>
        <w:ind w:firstLine="1600" w:firstLineChars="500"/>
        <w:rPr>
          <w:rFonts w:eastAsia="方正仿宋_GBK"/>
        </w:rPr>
      </w:pPr>
      <w:r>
        <w:rPr>
          <w:i/>
          <w:iCs/>
        </w:rPr>
        <w:t>Q</w:t>
      </w:r>
      <w:r>
        <w:rPr>
          <w:i/>
          <w:iCs/>
          <w:vertAlign w:val="subscript"/>
        </w:rPr>
        <w:t>5</w:t>
      </w:r>
      <w:r>
        <w:rPr>
          <w:rFonts w:hint="eastAsia" w:eastAsia="方正仿宋_GBK"/>
        </w:rPr>
        <w:t>──智能建造指标实际计算分值；</w:t>
      </w:r>
    </w:p>
    <w:p>
      <w:pPr>
        <w:adjustRightInd w:val="0"/>
        <w:snapToGrid w:val="0"/>
        <w:spacing w:line="500" w:lineRule="exact"/>
        <w:ind w:firstLine="1600" w:firstLineChars="500"/>
        <w:rPr>
          <w:rFonts w:eastAsia="方正仿宋_GBK"/>
        </w:rPr>
      </w:pPr>
      <w:r>
        <w:rPr>
          <w:i/>
          <w:iCs/>
        </w:rPr>
        <w:t>Q</w:t>
      </w:r>
      <w:r>
        <w:rPr>
          <w:i/>
          <w:iCs/>
          <w:vertAlign w:val="subscript"/>
        </w:rPr>
        <w:t>6</w:t>
      </w:r>
      <w:r>
        <w:rPr>
          <w:rFonts w:hint="eastAsia" w:eastAsia="方正仿宋_GBK"/>
        </w:rPr>
        <w:t>─</w:t>
      </w:r>
      <w:r>
        <w:rPr>
          <w:rFonts w:hint="eastAsia" w:eastAsia="方正仿宋_GBK"/>
          <w:highlight w:val="none"/>
        </w:rPr>
        <w:t>─缺少的计算项目分值之和。</w:t>
      </w:r>
    </w:p>
    <w:p>
      <w:pPr>
        <w:pStyle w:val="3"/>
        <w:widowControl w:val="0"/>
        <w:numPr>
          <w:ilvl w:val="0"/>
          <w:numId w:val="1"/>
        </w:numPr>
        <w:adjustRightInd w:val="0"/>
        <w:snapToGrid w:val="0"/>
        <w:ind w:firstLine="640" w:firstLineChars="200"/>
        <w:jc w:val="both"/>
        <w:rPr>
          <w:rFonts w:ascii="Times New Roman" w:hAnsi="Times New Roman"/>
        </w:rPr>
      </w:pPr>
      <w:bookmarkStart w:id="0" w:name="_bookmark3"/>
      <w:bookmarkEnd w:id="0"/>
      <w:bookmarkStart w:id="1" w:name="4__装_配_率_计_算"/>
      <w:bookmarkEnd w:id="1"/>
      <w:r>
        <w:rPr>
          <w:rFonts w:hint="eastAsia" w:ascii="Times New Roman" w:hAnsi="Times New Roman"/>
        </w:rPr>
        <w:t>装配式建筑计分表</w:t>
      </w:r>
    </w:p>
    <w:p>
      <w:pPr>
        <w:numPr>
          <w:ilvl w:val="255"/>
          <w:numId w:val="0"/>
        </w:numPr>
        <w:adjustRightInd w:val="0"/>
        <w:snapToGrid w:val="0"/>
        <w:spacing w:line="500" w:lineRule="exact"/>
        <w:ind w:firstLine="640" w:firstLineChars="200"/>
        <w:rPr>
          <w:rFonts w:eastAsia="方正仿宋_GBK"/>
        </w:rPr>
      </w:pPr>
      <w:r>
        <w:rPr>
          <w:rFonts w:hint="eastAsia" w:eastAsia="方正仿宋_GBK"/>
        </w:rPr>
        <w:t>（一）按照居住建筑、公共建筑和工业建筑三种建筑类型分别编制了计分表，给出了计算项目、指标要求、计算分值和最低分值。</w:t>
      </w:r>
    </w:p>
    <w:p>
      <w:pPr>
        <w:numPr>
          <w:ilvl w:val="255"/>
          <w:numId w:val="0"/>
        </w:numPr>
        <w:adjustRightInd w:val="0"/>
        <w:snapToGrid w:val="0"/>
        <w:spacing w:line="500" w:lineRule="exact"/>
        <w:ind w:firstLine="640" w:firstLineChars="200"/>
        <w:rPr>
          <w:rFonts w:eastAsia="方正仿宋_GBK"/>
        </w:rPr>
      </w:pPr>
      <w:r>
        <w:rPr>
          <w:rFonts w:hint="eastAsia" w:eastAsia="方正仿宋_GBK"/>
        </w:rPr>
        <w:t>（二）指标要求和计算分值有区间要求的，按照插值法进行计算；无指标要求或仅有下限要求的，按相应计算规则进行计算，分值精确到小数点后</w:t>
      </w:r>
      <w:r>
        <w:rPr>
          <w:rFonts w:eastAsia="方正仿宋_GBK"/>
        </w:rPr>
        <w:t>1</w:t>
      </w:r>
      <w:r>
        <w:rPr>
          <w:rFonts w:hint="eastAsia" w:eastAsia="方正仿宋_GBK"/>
        </w:rPr>
        <w:t>位。</w:t>
      </w:r>
    </w:p>
    <w:p>
      <w:pPr>
        <w:numPr>
          <w:ilvl w:val="255"/>
          <w:numId w:val="0"/>
        </w:numPr>
        <w:adjustRightInd w:val="0"/>
        <w:snapToGrid w:val="0"/>
        <w:spacing w:line="500" w:lineRule="exact"/>
        <w:ind w:firstLine="640" w:firstLineChars="200"/>
        <w:rPr>
          <w:rFonts w:eastAsia="方正仿宋_GBK"/>
        </w:rPr>
        <w:sectPr>
          <w:footerReference r:id="rId3" w:type="default"/>
          <w:pgSz w:w="11906" w:h="16838"/>
          <w:pgMar w:top="1440" w:right="1800" w:bottom="1440" w:left="1800" w:header="851" w:footer="992" w:gutter="0"/>
          <w:pgNumType w:fmt="numberInDash" w:start="3"/>
          <w:cols w:space="720" w:num="1"/>
          <w:docGrid w:type="lines" w:linePitch="312" w:charSpace="0"/>
        </w:sectPr>
      </w:pPr>
      <w:r>
        <w:rPr>
          <w:rFonts w:hint="eastAsia" w:eastAsia="方正仿宋_GBK"/>
        </w:rPr>
        <w:t>（三）支撑系统和装修两个要求“多选一”的计算项目不叠加计分，其他计算项目为叠加计分。</w:t>
      </w:r>
    </w:p>
    <w:tbl>
      <w:tblPr>
        <w:tblStyle w:val="10"/>
        <w:tblpPr w:leftFromText="180" w:rightFromText="180" w:vertAnchor="text" w:horzAnchor="margin" w:tblpY="898"/>
        <w:tblOverlap w:val="never"/>
        <w:tblW w:w="9354" w:type="dxa"/>
        <w:tblInd w:w="0" w:type="dxa"/>
        <w:tblLayout w:type="fixed"/>
        <w:tblCellMar>
          <w:top w:w="0" w:type="dxa"/>
          <w:left w:w="108" w:type="dxa"/>
          <w:bottom w:w="0" w:type="dxa"/>
          <w:right w:w="108" w:type="dxa"/>
        </w:tblCellMar>
      </w:tblPr>
      <w:tblGrid>
        <w:gridCol w:w="1253"/>
        <w:gridCol w:w="944"/>
        <w:gridCol w:w="958"/>
        <w:gridCol w:w="3377"/>
        <w:gridCol w:w="1154"/>
        <w:gridCol w:w="904"/>
        <w:gridCol w:w="764"/>
      </w:tblGrid>
      <w:tr>
        <w:tblPrEx>
          <w:tblCellMar>
            <w:top w:w="0" w:type="dxa"/>
            <w:left w:w="108" w:type="dxa"/>
            <w:bottom w:w="0" w:type="dxa"/>
            <w:right w:w="108" w:type="dxa"/>
          </w:tblCellMar>
        </w:tblPrEx>
        <w:trPr>
          <w:trHeight w:val="329" w:hRule="atLeast"/>
        </w:trPr>
        <w:tc>
          <w:tcPr>
            <w:tcW w:w="653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计算项目</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指标</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要求</w:t>
            </w:r>
          </w:p>
        </w:tc>
        <w:tc>
          <w:tcPr>
            <w:tcW w:w="90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计算</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分值</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最低</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分值</w:t>
            </w:r>
          </w:p>
        </w:tc>
      </w:tr>
      <w:tr>
        <w:tblPrEx>
          <w:tblCellMar>
            <w:top w:w="0" w:type="dxa"/>
            <w:left w:w="108" w:type="dxa"/>
            <w:bottom w:w="0" w:type="dxa"/>
            <w:right w:w="108" w:type="dxa"/>
          </w:tblCellMar>
        </w:tblPrEx>
        <w:trPr>
          <w:trHeight w:val="329" w:hRule="atLeast"/>
        </w:trPr>
        <w:tc>
          <w:tcPr>
            <w:tcW w:w="2197" w:type="dxa"/>
            <w:gridSpan w:val="2"/>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标准化设计</w:t>
            </w:r>
          </w:p>
          <w:p>
            <w:pPr>
              <w:widowControl/>
              <w:spacing w:line="400" w:lineRule="exact"/>
              <w:jc w:val="center"/>
              <w:textAlignment w:val="center"/>
              <w:rPr>
                <w:rFonts w:eastAsia="方正仿宋_GBK"/>
                <w:i/>
                <w:iCs/>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1</w:t>
            </w:r>
          </w:p>
          <w:p>
            <w:pPr>
              <w:widowControl/>
              <w:spacing w:line="400" w:lineRule="exact"/>
              <w:jc w:val="center"/>
              <w:textAlignment w:val="center"/>
            </w:pPr>
            <w:r>
              <w:rPr>
                <w:rFonts w:eastAsia="方正仿宋_GBK"/>
                <w:kern w:val="0"/>
                <w:sz w:val="24"/>
                <w:szCs w:val="24"/>
                <w:lang w:bidi="ar"/>
              </w:rPr>
              <w:t>（5分）</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功能房间和层高符合基本模数</w:t>
            </w:r>
            <w:r>
              <w:rPr>
                <w:rFonts w:eastAsia="方正仿宋_GBK"/>
                <w:i/>
                <w:iCs/>
                <w:kern w:val="0"/>
                <w:sz w:val="24"/>
                <w:szCs w:val="24"/>
                <w:lang w:bidi="ar"/>
              </w:rPr>
              <w:t>q</w:t>
            </w:r>
            <w:r>
              <w:rPr>
                <w:rFonts w:eastAsia="方正仿宋_GBK"/>
                <w:kern w:val="0"/>
                <w:sz w:val="24"/>
                <w:szCs w:val="24"/>
                <w:vertAlign w:val="subscript"/>
                <w:lang w:bidi="ar"/>
              </w:rPr>
              <w:t>1a</w:t>
            </w:r>
          </w:p>
        </w:tc>
        <w:tc>
          <w:tcPr>
            <w:tcW w:w="1154"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楷体_GB2312"/>
                <w:kern w:val="0"/>
                <w:sz w:val="22"/>
                <w:szCs w:val="22"/>
                <w:lang w:bidi="ar"/>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1</w:t>
            </w:r>
          </w:p>
        </w:tc>
        <w:tc>
          <w:tcPr>
            <w:tcW w:w="764" w:type="dxa"/>
            <w:vMerge w:val="restart"/>
            <w:tcBorders>
              <w:top w:val="single" w:color="000000" w:sz="4" w:space="0"/>
              <w:left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r>
      <w:tr>
        <w:tblPrEx>
          <w:tblCellMar>
            <w:top w:w="0" w:type="dxa"/>
            <w:left w:w="108" w:type="dxa"/>
            <w:bottom w:w="0" w:type="dxa"/>
            <w:right w:w="108" w:type="dxa"/>
          </w:tblCellMar>
        </w:tblPrEx>
        <w:trPr>
          <w:trHeight w:val="329" w:hRule="atLeast"/>
        </w:trPr>
        <w:tc>
          <w:tcPr>
            <w:tcW w:w="2197" w:type="dxa"/>
            <w:gridSpan w:val="2"/>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pPr>
            <w:r>
              <w:rPr>
                <w:rFonts w:eastAsia="方正仿宋_GBK"/>
                <w:kern w:val="0"/>
                <w:sz w:val="24"/>
                <w:szCs w:val="24"/>
                <w:lang w:bidi="ar"/>
              </w:rPr>
              <w:t>标准化预制构件</w:t>
            </w:r>
            <w:r>
              <w:rPr>
                <w:rFonts w:eastAsia="方正仿宋_GBK"/>
                <w:i/>
                <w:iCs/>
                <w:kern w:val="0"/>
                <w:sz w:val="24"/>
                <w:szCs w:val="24"/>
                <w:lang w:bidi="ar"/>
              </w:rPr>
              <w:t>q</w:t>
            </w:r>
            <w:r>
              <w:rPr>
                <w:rFonts w:eastAsia="方正仿宋_GBK"/>
                <w:kern w:val="0"/>
                <w:sz w:val="24"/>
                <w:szCs w:val="24"/>
                <w:vertAlign w:val="subscript"/>
                <w:lang w:bidi="ar"/>
              </w:rPr>
              <w:t>1c</w:t>
            </w:r>
          </w:p>
        </w:tc>
        <w:tc>
          <w:tcPr>
            <w:tcW w:w="1154"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SJQY"/>
                <w:kern w:val="0"/>
                <w:sz w:val="22"/>
                <w:szCs w:val="22"/>
                <w:lang w:bidi="ar"/>
              </w:rPr>
              <w:t>≥</w:t>
            </w:r>
            <w:r>
              <w:rPr>
                <w:rFonts w:eastAsia="楷体_GB2312"/>
                <w:kern w:val="0"/>
                <w:sz w:val="22"/>
                <w:szCs w:val="22"/>
                <w:lang w:bidi="ar"/>
              </w:rPr>
              <w:t>70%</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764" w:type="dxa"/>
            <w:vMerge w:val="continue"/>
            <w:tcBorders>
              <w:left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90" w:hRule="atLeast"/>
        </w:trPr>
        <w:tc>
          <w:tcPr>
            <w:tcW w:w="2197"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通用规格预制</w:t>
            </w:r>
            <w:r>
              <w:rPr>
                <w:rFonts w:hint="eastAsia" w:eastAsia="方正仿宋_GBK"/>
                <w:kern w:val="0"/>
                <w:sz w:val="24"/>
                <w:szCs w:val="24"/>
                <w:lang w:val="en-US" w:eastAsia="zh-CN" w:bidi="ar"/>
              </w:rPr>
              <w:t>混凝土</w:t>
            </w:r>
            <w:r>
              <w:rPr>
                <w:rFonts w:eastAsia="方正仿宋_GBK"/>
                <w:kern w:val="0"/>
                <w:sz w:val="24"/>
                <w:szCs w:val="24"/>
                <w:lang w:bidi="ar"/>
              </w:rPr>
              <w:t>构件</w:t>
            </w:r>
            <w:r>
              <w:rPr>
                <w:rFonts w:eastAsia="方正仿宋_GBK"/>
                <w:i/>
                <w:iCs/>
                <w:kern w:val="0"/>
                <w:sz w:val="24"/>
                <w:szCs w:val="24"/>
                <w:lang w:bidi="ar"/>
              </w:rPr>
              <w:t>q</w:t>
            </w:r>
            <w:r>
              <w:rPr>
                <w:rFonts w:eastAsia="方正仿宋_GBK"/>
                <w:kern w:val="0"/>
                <w:sz w:val="24"/>
                <w:szCs w:val="24"/>
                <w:vertAlign w:val="subscript"/>
                <w:lang w:bidi="ar"/>
              </w:rPr>
              <w:t>1d</w:t>
            </w:r>
          </w:p>
        </w:tc>
        <w:tc>
          <w:tcPr>
            <w:tcW w:w="1154"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SJQY"/>
                <w:kern w:val="0"/>
                <w:sz w:val="22"/>
                <w:szCs w:val="22"/>
                <w:lang w:bidi="ar"/>
              </w:rPr>
              <w:t>≥</w:t>
            </w:r>
            <w:r>
              <w:rPr>
                <w:rFonts w:eastAsia="楷体_GB2312"/>
                <w:kern w:val="0"/>
                <w:sz w:val="22"/>
                <w:szCs w:val="22"/>
                <w:lang w:bidi="ar"/>
              </w:rPr>
              <w:t>70%</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764" w:type="dxa"/>
            <w:vMerge w:val="continue"/>
            <w:tcBorders>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restart"/>
            <w:tcBorders>
              <w:top w:val="single" w:color="000000" w:sz="4" w:space="0"/>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主体</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结构</w:t>
            </w:r>
          </w:p>
          <w:p>
            <w:pPr>
              <w:widowControl/>
              <w:spacing w:line="400" w:lineRule="exact"/>
              <w:jc w:val="center"/>
              <w:textAlignment w:val="center"/>
              <w:rPr>
                <w:rFonts w:eastAsia="方正仿宋_GBK"/>
                <w:i/>
                <w:iCs/>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2</w:t>
            </w:r>
          </w:p>
          <w:p>
            <w:pPr>
              <w:widowControl/>
              <w:spacing w:line="400" w:lineRule="exact"/>
              <w:jc w:val="center"/>
              <w:textAlignment w:val="center"/>
            </w:pPr>
            <w:r>
              <w:rPr>
                <w:rFonts w:eastAsia="方正仿宋_GBK"/>
                <w:kern w:val="0"/>
                <w:sz w:val="24"/>
                <w:szCs w:val="24"/>
                <w:lang w:bidi="ar"/>
              </w:rPr>
              <w:t>（50分）</w:t>
            </w:r>
          </w:p>
        </w:tc>
        <w:tc>
          <w:tcPr>
            <w:tcW w:w="94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预制</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构件</w:t>
            </w:r>
          </w:p>
        </w:tc>
        <w:tc>
          <w:tcPr>
            <w:tcW w:w="433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竖向预制构件</w:t>
            </w:r>
            <w:r>
              <w:rPr>
                <w:rFonts w:eastAsia="方正仿宋_GBK"/>
                <w:i/>
                <w:iCs/>
                <w:kern w:val="0"/>
                <w:sz w:val="24"/>
                <w:szCs w:val="24"/>
                <w:lang w:bidi="ar"/>
              </w:rPr>
              <w:t>q</w:t>
            </w:r>
            <w:r>
              <w:rPr>
                <w:rFonts w:eastAsia="方正仿宋_GBK"/>
                <w:kern w:val="0"/>
                <w:sz w:val="24"/>
                <w:szCs w:val="24"/>
                <w:vertAlign w:val="subscript"/>
                <w:lang w:bidi="ar"/>
              </w:rPr>
              <w:t>2a</w:t>
            </w:r>
          </w:p>
        </w:tc>
        <w:tc>
          <w:tcPr>
            <w:tcW w:w="115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25%-60%</w:t>
            </w:r>
          </w:p>
        </w:tc>
        <w:tc>
          <w:tcPr>
            <w:tcW w:w="904"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12-22</w:t>
            </w:r>
          </w:p>
        </w:tc>
        <w:tc>
          <w:tcPr>
            <w:tcW w:w="764"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26</w:t>
            </w:r>
          </w:p>
        </w:tc>
      </w:tr>
      <w:tr>
        <w:tblPrEx>
          <w:tblCellMar>
            <w:top w:w="0" w:type="dxa"/>
            <w:left w:w="108" w:type="dxa"/>
            <w:bottom w:w="0" w:type="dxa"/>
            <w:right w:w="108" w:type="dxa"/>
          </w:tblCellMar>
        </w:tblPrEx>
        <w:trPr>
          <w:trHeight w:val="329" w:hRule="atLeast"/>
        </w:trPr>
        <w:tc>
          <w:tcPr>
            <w:tcW w:w="1253"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top w:val="single" w:color="000000"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梁类预制构件</w:t>
            </w:r>
            <w:r>
              <w:rPr>
                <w:rFonts w:eastAsia="方正仿宋_GBK"/>
                <w:i/>
                <w:iCs/>
                <w:kern w:val="0"/>
                <w:sz w:val="24"/>
                <w:szCs w:val="24"/>
                <w:lang w:bidi="ar"/>
              </w:rPr>
              <w:t>q</w:t>
            </w:r>
            <w:r>
              <w:rPr>
                <w:rFonts w:eastAsia="方正仿宋_GBK"/>
                <w:kern w:val="0"/>
                <w:sz w:val="24"/>
                <w:szCs w:val="24"/>
                <w:vertAlign w:val="subscript"/>
                <w:lang w:bidi="ar"/>
              </w:rPr>
              <w:t>2b</w:t>
            </w:r>
          </w:p>
        </w:tc>
        <w:tc>
          <w:tcPr>
            <w:tcW w:w="115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15%-30%</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4-8</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top w:val="single" w:color="000000"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板类预制构件</w:t>
            </w:r>
            <w:r>
              <w:rPr>
                <w:rFonts w:eastAsia="方正仿宋_GBK"/>
                <w:i/>
                <w:iCs/>
                <w:kern w:val="0"/>
                <w:sz w:val="24"/>
                <w:szCs w:val="24"/>
                <w:lang w:bidi="ar"/>
              </w:rPr>
              <w:t>q</w:t>
            </w:r>
            <w:r>
              <w:rPr>
                <w:rFonts w:eastAsia="方正仿宋_GBK"/>
                <w:kern w:val="0"/>
                <w:sz w:val="24"/>
                <w:szCs w:val="24"/>
                <w:vertAlign w:val="subscript"/>
                <w:lang w:bidi="ar"/>
              </w:rPr>
              <w:t>2c</w:t>
            </w:r>
          </w:p>
        </w:tc>
        <w:tc>
          <w:tcPr>
            <w:tcW w:w="11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70%-90%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7-12</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restart"/>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支撑</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系统</w:t>
            </w:r>
          </w:p>
        </w:tc>
        <w:tc>
          <w:tcPr>
            <w:tcW w:w="958" w:type="dxa"/>
            <w:vMerge w:val="restart"/>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eastAsia="方正仿宋_GBK"/>
                <w:i/>
                <w:iCs/>
                <w:kern w:val="0"/>
                <w:sz w:val="24"/>
                <w:szCs w:val="24"/>
                <w:vertAlign w:val="subscript"/>
                <w:lang w:bidi="ar"/>
              </w:rPr>
            </w:pPr>
            <w:r>
              <w:rPr>
                <w:rFonts w:eastAsia="方正仿宋_GBK"/>
                <w:i/>
                <w:iCs/>
                <w:kern w:val="0"/>
                <w:sz w:val="24"/>
                <w:szCs w:val="24"/>
                <w:lang w:bidi="ar"/>
              </w:rPr>
              <w:t>q</w:t>
            </w:r>
            <w:r>
              <w:rPr>
                <w:rFonts w:eastAsia="方正仿宋_GBK"/>
                <w:kern w:val="0"/>
                <w:sz w:val="24"/>
                <w:szCs w:val="24"/>
                <w:vertAlign w:val="subscript"/>
                <w:lang w:bidi="ar"/>
              </w:rPr>
              <w:t>2d</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五选一</w:t>
            </w:r>
          </w:p>
        </w:tc>
        <w:tc>
          <w:tcPr>
            <w:tcW w:w="33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系统采用高精度模板施工工艺</w:t>
            </w:r>
          </w:p>
        </w:tc>
        <w:tc>
          <w:tcPr>
            <w:tcW w:w="115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8</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58"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3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sz w:val="24"/>
                <w:szCs w:val="28"/>
              </w:rPr>
              <w:t>竖向支撑采用独立钢支柱</w:t>
            </w:r>
          </w:p>
        </w:tc>
        <w:tc>
          <w:tcPr>
            <w:tcW w:w="115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58"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3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预制梁跨中免支撑</w:t>
            </w:r>
          </w:p>
        </w:tc>
        <w:tc>
          <w:tcPr>
            <w:tcW w:w="115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58"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3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预制板跨中免支撑</w:t>
            </w:r>
          </w:p>
        </w:tc>
        <w:tc>
          <w:tcPr>
            <w:tcW w:w="115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958"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3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预制楼盖免支撑</w:t>
            </w:r>
          </w:p>
        </w:tc>
        <w:tc>
          <w:tcPr>
            <w:tcW w:w="115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8</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围护墙和内隔墙</w:t>
            </w:r>
          </w:p>
          <w:p>
            <w:pPr>
              <w:widowControl/>
              <w:spacing w:line="400" w:lineRule="exact"/>
              <w:jc w:val="center"/>
              <w:textAlignment w:val="center"/>
              <w:rPr>
                <w:rFonts w:eastAsia="方正仿宋_GBK"/>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3</w:t>
            </w:r>
          </w:p>
          <w:p>
            <w:pPr>
              <w:widowControl/>
              <w:spacing w:line="400" w:lineRule="exact"/>
              <w:textAlignment w:val="center"/>
              <w:rPr>
                <w:rFonts w:eastAsia="方正仿宋_GBK"/>
                <w:kern w:val="0"/>
                <w:sz w:val="24"/>
                <w:szCs w:val="24"/>
                <w:lang w:bidi="ar"/>
              </w:rPr>
            </w:pPr>
            <w:r>
              <w:rPr>
                <w:rFonts w:eastAsia="方正仿宋_GBK"/>
                <w:kern w:val="0"/>
                <w:sz w:val="24"/>
                <w:szCs w:val="24"/>
                <w:lang w:bidi="ar"/>
              </w:rPr>
              <w:t>（18分）</w:t>
            </w:r>
          </w:p>
        </w:tc>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pPr>
            <w:r>
              <w:rPr>
                <w:rFonts w:eastAsia="方正仿宋_GBK"/>
                <w:kern w:val="0"/>
                <w:sz w:val="24"/>
                <w:szCs w:val="24"/>
                <w:lang w:bidi="ar"/>
              </w:rPr>
              <w:t>围护墙</w:t>
            </w:r>
          </w:p>
        </w:tc>
        <w:tc>
          <w:tcPr>
            <w:tcW w:w="433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 xml:space="preserve">装配式非承重围护墙 </w:t>
            </w:r>
            <w:r>
              <w:rPr>
                <w:rFonts w:eastAsia="方正仿宋_GBK"/>
                <w:i/>
                <w:iCs/>
                <w:kern w:val="0"/>
                <w:sz w:val="24"/>
                <w:szCs w:val="24"/>
                <w:lang w:bidi="ar"/>
              </w:rPr>
              <w:t>q</w:t>
            </w:r>
            <w:r>
              <w:rPr>
                <w:rFonts w:eastAsia="方正仿宋_GBK"/>
                <w:kern w:val="0"/>
                <w:sz w:val="24"/>
                <w:szCs w:val="24"/>
                <w:vertAlign w:val="subscript"/>
                <w:lang w:bidi="ar"/>
              </w:rPr>
              <w:t>3a</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50%-80%</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5-8</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装配式围护墙与保温一体化</w:t>
            </w:r>
            <w:r>
              <w:rPr>
                <w:rFonts w:eastAsia="方正仿宋_GBK"/>
                <w:i/>
                <w:iCs/>
                <w:kern w:val="0"/>
                <w:sz w:val="24"/>
                <w:szCs w:val="24"/>
                <w:lang w:bidi="ar"/>
              </w:rPr>
              <w:t>q</w:t>
            </w:r>
            <w:r>
              <w:rPr>
                <w:rFonts w:eastAsia="方正仿宋_GBK"/>
                <w:kern w:val="0"/>
                <w:sz w:val="24"/>
                <w:szCs w:val="24"/>
                <w:vertAlign w:val="subscript"/>
                <w:lang w:bidi="ar"/>
              </w:rPr>
              <w:t>3b</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装配式围护墙与装饰一体化</w:t>
            </w:r>
            <w:r>
              <w:rPr>
                <w:rFonts w:eastAsia="方正仿宋_GBK"/>
                <w:i/>
                <w:iCs/>
                <w:kern w:val="0"/>
                <w:sz w:val="24"/>
                <w:szCs w:val="24"/>
                <w:lang w:bidi="ar"/>
              </w:rPr>
              <w:t>q</w:t>
            </w:r>
            <w:r>
              <w:rPr>
                <w:rFonts w:eastAsia="方正仿宋_GBK"/>
                <w:kern w:val="0"/>
                <w:sz w:val="24"/>
                <w:szCs w:val="24"/>
                <w:vertAlign w:val="subscript"/>
                <w:lang w:bidi="ar"/>
              </w:rPr>
              <w:t>3c</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内隔墙</w:t>
            </w:r>
          </w:p>
        </w:tc>
        <w:tc>
          <w:tcPr>
            <w:tcW w:w="4335" w:type="dxa"/>
            <w:gridSpan w:val="2"/>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装配式非承重内隔墙</w:t>
            </w:r>
            <w:r>
              <w:rPr>
                <w:rFonts w:eastAsia="方正仿宋_GBK"/>
                <w:i/>
                <w:iCs/>
                <w:kern w:val="0"/>
                <w:sz w:val="24"/>
                <w:szCs w:val="24"/>
                <w:lang w:bidi="ar"/>
              </w:rPr>
              <w:t>q</w:t>
            </w:r>
            <w:r>
              <w:rPr>
                <w:rFonts w:eastAsia="方正仿宋_GBK"/>
                <w:kern w:val="0"/>
                <w:sz w:val="24"/>
                <w:szCs w:val="24"/>
                <w:vertAlign w:val="subscript"/>
                <w:lang w:bidi="ar"/>
              </w:rPr>
              <w:t>3d</w:t>
            </w:r>
          </w:p>
        </w:tc>
        <w:tc>
          <w:tcPr>
            <w:tcW w:w="1154"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eastAsia="楷体_GB2312"/>
                <w:kern w:val="0"/>
                <w:sz w:val="22"/>
                <w:szCs w:val="22"/>
                <w:lang w:bidi="ar"/>
              </w:rPr>
            </w:pPr>
            <w:r>
              <w:rPr>
                <w:rFonts w:eastAsia="SJQY"/>
                <w:kern w:val="0"/>
                <w:sz w:val="22"/>
                <w:szCs w:val="22"/>
                <w:lang w:bidi="ar"/>
              </w:rPr>
              <w:t>≥</w:t>
            </w:r>
            <w:r>
              <w:rPr>
                <w:rFonts w:eastAsia="楷体_GB2312"/>
                <w:kern w:val="0"/>
                <w:sz w:val="22"/>
                <w:szCs w:val="22"/>
                <w:lang w:bidi="ar"/>
              </w:rPr>
              <w:t>80%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6</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141" w:hRule="atLeast"/>
        </w:trPr>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装修和</w:t>
            </w:r>
            <w:r>
              <w:rPr>
                <w:rFonts w:eastAsia="方正仿宋_GBK"/>
                <w:kern w:val="0"/>
                <w:sz w:val="24"/>
                <w:szCs w:val="24"/>
                <w:lang w:bidi="ar"/>
              </w:rPr>
              <w:br w:type="textWrapping"/>
            </w:r>
            <w:r>
              <w:rPr>
                <w:rFonts w:eastAsia="方正仿宋_GBK"/>
                <w:kern w:val="0"/>
                <w:sz w:val="24"/>
                <w:szCs w:val="24"/>
                <w:lang w:bidi="ar"/>
              </w:rPr>
              <w:t>设备管线</w:t>
            </w:r>
          </w:p>
          <w:p>
            <w:pPr>
              <w:widowControl/>
              <w:spacing w:line="400" w:lineRule="exact"/>
              <w:jc w:val="center"/>
              <w:textAlignment w:val="center"/>
              <w:rPr>
                <w:rFonts w:eastAsia="方正仿宋_GBK"/>
                <w:i/>
                <w:iCs/>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4</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（27分）</w:t>
            </w:r>
          </w:p>
        </w:tc>
        <w:tc>
          <w:tcPr>
            <w:tcW w:w="944"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装修</w:t>
            </w:r>
          </w:p>
        </w:tc>
        <w:tc>
          <w:tcPr>
            <w:tcW w:w="958" w:type="dxa"/>
            <w:vMerge w:val="restart"/>
            <w:tcBorders>
              <w:top w:val="single" w:color="000000" w:sz="4" w:space="0"/>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4a</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三选一</w:t>
            </w:r>
          </w:p>
        </w:tc>
        <w:tc>
          <w:tcPr>
            <w:tcW w:w="3377"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全装修（含公区工业化装修）</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8</w:t>
            </w:r>
          </w:p>
        </w:tc>
        <w:tc>
          <w:tcPr>
            <w:tcW w:w="7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w:t>
            </w:r>
          </w:p>
        </w:tc>
      </w:tr>
      <w:tr>
        <w:tblPrEx>
          <w:tblCellMar>
            <w:top w:w="0" w:type="dxa"/>
            <w:left w:w="108" w:type="dxa"/>
            <w:bottom w:w="0" w:type="dxa"/>
            <w:right w:w="108" w:type="dxa"/>
          </w:tblCellMar>
        </w:tblPrEx>
        <w:trPr>
          <w:trHeight w:val="90"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58" w:type="dxa"/>
            <w:vMerge w:val="continue"/>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377"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全装修</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6</w:t>
            </w:r>
          </w:p>
        </w:tc>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90"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58" w:type="dxa"/>
            <w:vMerge w:val="continue"/>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377"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公区工业化装修</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w:t>
            </w:r>
          </w:p>
        </w:tc>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集成厨房</w:t>
            </w:r>
            <w:r>
              <w:rPr>
                <w:rFonts w:eastAsia="方正仿宋_GBK"/>
                <w:i/>
                <w:iCs/>
                <w:kern w:val="0"/>
                <w:sz w:val="24"/>
                <w:szCs w:val="24"/>
                <w:lang w:bidi="ar"/>
              </w:rPr>
              <w:t>q</w:t>
            </w:r>
            <w:r>
              <w:rPr>
                <w:rFonts w:eastAsia="方正仿宋_GBK"/>
                <w:kern w:val="0"/>
                <w:sz w:val="24"/>
                <w:szCs w:val="24"/>
                <w:vertAlign w:val="subscript"/>
                <w:lang w:bidi="ar"/>
              </w:rPr>
              <w:t>4b</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楷体_GB2312"/>
                <w:kern w:val="0"/>
                <w:sz w:val="22"/>
                <w:szCs w:val="22"/>
                <w:lang w:bidi="ar"/>
              </w:rPr>
              <w:t>70%-90%</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3-4.5</w:t>
            </w:r>
          </w:p>
        </w:tc>
        <w:tc>
          <w:tcPr>
            <w:tcW w:w="764"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r>
      <w:tr>
        <w:tblPrEx>
          <w:tblCellMar>
            <w:top w:w="0" w:type="dxa"/>
            <w:left w:w="108" w:type="dxa"/>
            <w:bottom w:w="0" w:type="dxa"/>
            <w:right w:w="108" w:type="dxa"/>
          </w:tblCellMar>
        </w:tblPrEx>
        <w:trPr>
          <w:trHeight w:val="329"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集成卫生间</w:t>
            </w:r>
            <w:r>
              <w:rPr>
                <w:rFonts w:eastAsia="方正仿宋_GBK"/>
                <w:i/>
                <w:iCs/>
                <w:kern w:val="0"/>
                <w:sz w:val="24"/>
                <w:szCs w:val="24"/>
                <w:lang w:bidi="ar"/>
              </w:rPr>
              <w:t>q</w:t>
            </w:r>
            <w:r>
              <w:rPr>
                <w:rFonts w:eastAsia="方正仿宋_GBK"/>
                <w:kern w:val="0"/>
                <w:sz w:val="24"/>
                <w:szCs w:val="24"/>
                <w:vertAlign w:val="subscript"/>
                <w:lang w:bidi="ar"/>
              </w:rPr>
              <w:t>4c</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70%-90%</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3-4.5</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干法楼地面</w:t>
            </w:r>
            <w:r>
              <w:rPr>
                <w:rFonts w:eastAsia="方正仿宋_GBK"/>
                <w:i/>
                <w:iCs/>
                <w:kern w:val="0"/>
                <w:sz w:val="24"/>
                <w:szCs w:val="24"/>
                <w:lang w:bidi="ar"/>
              </w:rPr>
              <w:t>q</w:t>
            </w:r>
            <w:r>
              <w:rPr>
                <w:rFonts w:eastAsia="方正仿宋_GBK"/>
                <w:kern w:val="0"/>
                <w:sz w:val="24"/>
                <w:szCs w:val="24"/>
                <w:vertAlign w:val="subscript"/>
                <w:lang w:bidi="ar"/>
              </w:rPr>
              <w:t>4e</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70%-90%</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3-4.5</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管线</w:t>
            </w: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管线分离</w:t>
            </w:r>
            <w:r>
              <w:rPr>
                <w:rFonts w:eastAsia="方正仿宋_GBK"/>
                <w:i/>
                <w:iCs/>
                <w:kern w:val="0"/>
                <w:sz w:val="24"/>
                <w:szCs w:val="24"/>
                <w:lang w:bidi="ar"/>
              </w:rPr>
              <w:t>q</w:t>
            </w:r>
            <w:r>
              <w:rPr>
                <w:rFonts w:eastAsia="方正仿宋_GBK"/>
                <w:kern w:val="0"/>
                <w:sz w:val="24"/>
                <w:szCs w:val="24"/>
                <w:vertAlign w:val="subscript"/>
                <w:lang w:bidi="ar"/>
              </w:rPr>
              <w:t>4g</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50%-70%</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2-4</w:t>
            </w:r>
          </w:p>
        </w:tc>
        <w:tc>
          <w:tcPr>
            <w:tcW w:w="764"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253"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944"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管线一体化</w:t>
            </w:r>
            <w:r>
              <w:rPr>
                <w:rFonts w:eastAsia="方正仿宋_GBK"/>
                <w:i/>
                <w:iCs/>
                <w:kern w:val="0"/>
                <w:sz w:val="24"/>
                <w:szCs w:val="24"/>
                <w:lang w:bidi="ar"/>
              </w:rPr>
              <w:t>q</w:t>
            </w:r>
            <w:r>
              <w:rPr>
                <w:rFonts w:eastAsia="方正仿宋_GBK"/>
                <w:kern w:val="0"/>
                <w:sz w:val="24"/>
                <w:szCs w:val="24"/>
                <w:vertAlign w:val="subscript"/>
                <w:lang w:bidi="ar"/>
              </w:rPr>
              <w:t>4h</w:t>
            </w:r>
          </w:p>
        </w:tc>
        <w:tc>
          <w:tcPr>
            <w:tcW w:w="115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1.5</w:t>
            </w:r>
          </w:p>
        </w:tc>
        <w:tc>
          <w:tcPr>
            <w:tcW w:w="764" w:type="dxa"/>
            <w:vMerge w:val="continue"/>
            <w:tcBorders>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2197" w:type="dxa"/>
            <w:gridSpan w:val="2"/>
            <w:vMerge w:val="restart"/>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智能建造</w:t>
            </w:r>
          </w:p>
          <w:p>
            <w:pPr>
              <w:widowControl/>
              <w:spacing w:line="400" w:lineRule="exact"/>
              <w:jc w:val="center"/>
              <w:textAlignment w:val="center"/>
              <w:rPr>
                <w:rFonts w:eastAsia="方正仿宋_GBK"/>
                <w:i/>
                <w:iCs/>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5</w:t>
            </w:r>
          </w:p>
          <w:p>
            <w:pPr>
              <w:widowControl/>
              <w:spacing w:line="400" w:lineRule="exact"/>
              <w:jc w:val="center"/>
              <w:textAlignment w:val="center"/>
              <w:rPr>
                <w:rFonts w:eastAsia="方正仿宋_GBK"/>
                <w:kern w:val="0"/>
                <w:sz w:val="24"/>
                <w:szCs w:val="24"/>
                <w:lang w:bidi="ar"/>
              </w:rPr>
            </w:pPr>
            <w:r>
              <w:rPr>
                <w:rFonts w:eastAsia="方正仿宋_GBK"/>
                <w:kern w:val="0"/>
                <w:sz w:val="24"/>
                <w:szCs w:val="24"/>
                <w:highlight w:val="none"/>
                <w:lang w:bidi="ar"/>
              </w:rPr>
              <w:t>（6分）</w:t>
            </w:r>
          </w:p>
        </w:tc>
        <w:tc>
          <w:tcPr>
            <w:tcW w:w="433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BIM技术应用</w:t>
            </w:r>
            <w:r>
              <w:rPr>
                <w:rFonts w:eastAsia="方正仿宋_GBK"/>
                <w:i/>
                <w:iCs/>
                <w:kern w:val="0"/>
                <w:sz w:val="24"/>
                <w:szCs w:val="24"/>
                <w:lang w:bidi="ar"/>
              </w:rPr>
              <w:t>q</w:t>
            </w:r>
            <w:r>
              <w:rPr>
                <w:rFonts w:eastAsia="方正仿宋_GBK"/>
                <w:kern w:val="0"/>
                <w:sz w:val="24"/>
                <w:szCs w:val="24"/>
                <w:vertAlign w:val="subscript"/>
                <w:lang w:bidi="ar"/>
              </w:rPr>
              <w:t>5a</w:t>
            </w:r>
          </w:p>
        </w:tc>
        <w:tc>
          <w:tcPr>
            <w:tcW w:w="1154"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highlight w:val="none"/>
                <w:lang w:bidi="ar"/>
              </w:rPr>
            </w:pPr>
            <w:r>
              <w:rPr>
                <w:rFonts w:eastAsia="楷体_GB2312"/>
                <w:kern w:val="0"/>
                <w:sz w:val="22"/>
                <w:szCs w:val="22"/>
                <w:highlight w:val="none"/>
                <w:lang w:bidi="ar"/>
              </w:rPr>
              <w:t>0.5-2</w:t>
            </w:r>
          </w:p>
        </w:tc>
        <w:tc>
          <w:tcPr>
            <w:tcW w:w="764" w:type="dxa"/>
            <w:vMerge w:val="restart"/>
            <w:tcBorders>
              <w:top w:val="single" w:color="auto" w:sz="4" w:space="0"/>
              <w:left w:val="single" w:color="000000"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r>
      <w:tr>
        <w:tblPrEx>
          <w:tblCellMar>
            <w:top w:w="0" w:type="dxa"/>
            <w:left w:w="108" w:type="dxa"/>
            <w:bottom w:w="0" w:type="dxa"/>
            <w:right w:w="108" w:type="dxa"/>
          </w:tblCellMar>
        </w:tblPrEx>
        <w:trPr>
          <w:trHeight w:val="329" w:hRule="atLeast"/>
        </w:trPr>
        <w:tc>
          <w:tcPr>
            <w:tcW w:w="219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智能化装备应用</w:t>
            </w:r>
            <w:r>
              <w:rPr>
                <w:rFonts w:eastAsia="方正仿宋_GBK"/>
                <w:i/>
                <w:iCs/>
                <w:kern w:val="0"/>
                <w:sz w:val="24"/>
                <w:szCs w:val="24"/>
                <w:lang w:bidi="ar"/>
              </w:rPr>
              <w:t>q</w:t>
            </w:r>
            <w:r>
              <w:rPr>
                <w:rFonts w:eastAsia="方正仿宋_GBK"/>
                <w:kern w:val="0"/>
                <w:sz w:val="24"/>
                <w:szCs w:val="24"/>
                <w:vertAlign w:val="subscript"/>
                <w:lang w:bidi="ar"/>
              </w:rPr>
              <w:t>5b</w:t>
            </w:r>
          </w:p>
        </w:tc>
        <w:tc>
          <w:tcPr>
            <w:tcW w:w="1154"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highlight w:val="none"/>
                <w:lang w:bidi="ar"/>
              </w:rPr>
            </w:pPr>
            <w:r>
              <w:rPr>
                <w:rFonts w:eastAsia="楷体_GB2312"/>
                <w:kern w:val="0"/>
                <w:sz w:val="22"/>
                <w:szCs w:val="22"/>
                <w:highlight w:val="none"/>
                <w:lang w:bidi="ar"/>
              </w:rPr>
              <w:t>0.5-3</w:t>
            </w:r>
          </w:p>
        </w:tc>
        <w:tc>
          <w:tcPr>
            <w:tcW w:w="764"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2197" w:type="dxa"/>
            <w:gridSpan w:val="2"/>
            <w:vMerge w:val="continue"/>
            <w:tcBorders>
              <w:left w:val="single" w:color="auto"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 xml:space="preserve">数字化档案 </w:t>
            </w:r>
            <w:r>
              <w:rPr>
                <w:rFonts w:eastAsia="方正仿宋_GBK"/>
                <w:i/>
                <w:iCs/>
                <w:kern w:val="0"/>
                <w:sz w:val="24"/>
                <w:szCs w:val="24"/>
                <w:lang w:bidi="ar"/>
              </w:rPr>
              <w:t>q</w:t>
            </w:r>
            <w:r>
              <w:rPr>
                <w:rFonts w:eastAsia="方正仿宋_GBK"/>
                <w:kern w:val="0"/>
                <w:sz w:val="24"/>
                <w:szCs w:val="24"/>
                <w:vertAlign w:val="subscript"/>
                <w:lang w:bidi="ar"/>
              </w:rPr>
              <w:t>5c</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highlight w:val="none"/>
                <w:lang w:bidi="ar"/>
              </w:rPr>
            </w:pPr>
            <w:r>
              <w:rPr>
                <w:rFonts w:eastAsia="楷体_GB2312"/>
                <w:kern w:val="0"/>
                <w:sz w:val="22"/>
                <w:szCs w:val="22"/>
                <w:highlight w:val="none"/>
                <w:lang w:bidi="ar"/>
              </w:rPr>
              <w:t>1</w:t>
            </w:r>
          </w:p>
        </w:tc>
        <w:tc>
          <w:tcPr>
            <w:tcW w:w="764" w:type="dxa"/>
            <w:vMerge w:val="continue"/>
            <w:tcBorders>
              <w:left w:val="single" w:color="000000"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9354"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eastAsia="方正仿宋_GBK"/>
                <w:kern w:val="0"/>
                <w:sz w:val="22"/>
                <w:szCs w:val="22"/>
                <w:lang w:bidi="ar"/>
              </w:rPr>
            </w:pPr>
            <w:r>
              <w:rPr>
                <w:rFonts w:eastAsia="方正仿宋_GBK"/>
                <w:kern w:val="0"/>
                <w:sz w:val="22"/>
                <w:szCs w:val="22"/>
                <w:lang w:bidi="ar"/>
              </w:rPr>
              <w:t>注：1.围护墙全部采用全现浇混凝土外墙得4分，全部采用免拆保温模板全现浇外墙得5分。</w:t>
            </w:r>
          </w:p>
          <w:p>
            <w:pPr>
              <w:pStyle w:val="2"/>
              <w:spacing w:after="0" w:line="400" w:lineRule="exact"/>
              <w:ind w:firstLine="440" w:firstLineChars="200"/>
            </w:pPr>
            <w:r>
              <w:rPr>
                <w:rFonts w:eastAsia="方正仿宋_GBK"/>
                <w:kern w:val="0"/>
                <w:sz w:val="22"/>
                <w:szCs w:val="22"/>
                <w:lang w:bidi="ar"/>
              </w:rPr>
              <w:t>2.楼地面保温和隔声区域全部采用模块化保温隔声功能部品，且其饰面层全部采用架空、干铺、薄贴工艺时得4.5分。</w:t>
            </w:r>
          </w:p>
        </w:tc>
      </w:tr>
    </w:tbl>
    <w:p>
      <w:pPr>
        <w:pStyle w:val="2"/>
        <w:spacing w:after="0" w:line="480" w:lineRule="exact"/>
        <w:jc w:val="center"/>
        <w:rPr>
          <w:rFonts w:eastAsia="方正仿宋_GBK"/>
          <w:b/>
          <w:bCs/>
        </w:rPr>
      </w:pPr>
      <w:r>
        <w:rPr>
          <w:rFonts w:hint="eastAsia" w:eastAsia="方正黑体_GBK"/>
          <w:bCs/>
        </w:rPr>
        <w:t>表</w:t>
      </w:r>
      <w:r>
        <w:rPr>
          <w:rFonts w:eastAsia="方正黑体_GBK"/>
          <w:bCs/>
        </w:rPr>
        <w:t xml:space="preserve">1 </w:t>
      </w:r>
      <w:r>
        <w:rPr>
          <w:rFonts w:eastAsia="方正黑体_GBK"/>
          <w:bCs/>
        </w:rPr>
        <w:tab/>
      </w:r>
      <w:r>
        <w:rPr>
          <w:rFonts w:hint="eastAsia" w:eastAsia="方正黑体_GBK"/>
          <w:bCs/>
        </w:rPr>
        <w:t>居住建筑计分表</w:t>
      </w:r>
    </w:p>
    <w:p>
      <w:pPr>
        <w:widowControl/>
        <w:spacing w:line="480" w:lineRule="exact"/>
        <w:jc w:val="center"/>
        <w:textAlignment w:val="center"/>
        <w:rPr>
          <w:rFonts w:eastAsia="方正黑体_GBK"/>
          <w:bCs/>
        </w:rPr>
      </w:pPr>
      <w:r>
        <w:rPr>
          <w:rFonts w:hint="eastAsia" w:eastAsia="方正黑体_GBK"/>
          <w:bCs/>
        </w:rPr>
        <w:t>表</w:t>
      </w:r>
      <w:r>
        <w:rPr>
          <w:rFonts w:eastAsia="方正黑体_GBK"/>
          <w:bCs/>
        </w:rPr>
        <w:t xml:space="preserve">2 </w:t>
      </w:r>
      <w:r>
        <w:rPr>
          <w:rFonts w:hint="eastAsia" w:eastAsia="方正黑体_GBK"/>
          <w:bCs/>
        </w:rPr>
        <w:t>公共建筑计分表</w:t>
      </w:r>
    </w:p>
    <w:tbl>
      <w:tblPr>
        <w:tblStyle w:val="10"/>
        <w:tblpPr w:leftFromText="180" w:rightFromText="180" w:vertAnchor="text" w:horzAnchor="page" w:tblpX="1526" w:tblpY="444"/>
        <w:tblOverlap w:val="never"/>
        <w:tblW w:w="9354" w:type="dxa"/>
        <w:tblInd w:w="0" w:type="dxa"/>
        <w:tblLayout w:type="autofit"/>
        <w:tblCellMar>
          <w:top w:w="0" w:type="dxa"/>
          <w:left w:w="108" w:type="dxa"/>
          <w:bottom w:w="0" w:type="dxa"/>
          <w:right w:w="108" w:type="dxa"/>
        </w:tblCellMar>
      </w:tblPr>
      <w:tblGrid>
        <w:gridCol w:w="1183"/>
        <w:gridCol w:w="1011"/>
        <w:gridCol w:w="1097"/>
        <w:gridCol w:w="3242"/>
        <w:gridCol w:w="1235"/>
        <w:gridCol w:w="835"/>
        <w:gridCol w:w="751"/>
      </w:tblGrid>
      <w:tr>
        <w:tblPrEx>
          <w:tblCellMar>
            <w:top w:w="0" w:type="dxa"/>
            <w:left w:w="108" w:type="dxa"/>
            <w:bottom w:w="0" w:type="dxa"/>
            <w:right w:w="108" w:type="dxa"/>
          </w:tblCellMar>
        </w:tblPrEx>
        <w:trPr>
          <w:trHeight w:val="329" w:hRule="atLeast"/>
        </w:trPr>
        <w:tc>
          <w:tcPr>
            <w:tcW w:w="653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计算项目</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指标要求</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eastAsia="方正仿宋_GBK"/>
                <w:kern w:val="0"/>
                <w:sz w:val="24"/>
                <w:szCs w:val="24"/>
                <w:lang w:bidi="ar"/>
              </w:rPr>
            </w:pPr>
            <w:r>
              <w:rPr>
                <w:rFonts w:hint="eastAsia" w:eastAsia="方正仿宋_GBK"/>
                <w:kern w:val="0"/>
                <w:sz w:val="24"/>
                <w:szCs w:val="24"/>
                <w:lang w:bidi="ar"/>
              </w:rPr>
              <w:t>计算</w:t>
            </w:r>
          </w:p>
          <w:p>
            <w:pPr>
              <w:widowControl/>
              <w:spacing w:line="400" w:lineRule="exact"/>
              <w:textAlignment w:val="center"/>
              <w:rPr>
                <w:rFonts w:eastAsia="方正仿宋_GBK"/>
                <w:kern w:val="0"/>
                <w:sz w:val="24"/>
                <w:szCs w:val="24"/>
                <w:lang w:bidi="ar"/>
              </w:rPr>
            </w:pPr>
            <w:r>
              <w:rPr>
                <w:rFonts w:hint="eastAsia" w:eastAsia="方正仿宋_GBK"/>
                <w:kern w:val="0"/>
                <w:sz w:val="24"/>
                <w:szCs w:val="24"/>
                <w:lang w:bidi="ar"/>
              </w:rPr>
              <w:t>分值</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最低</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分值</w:t>
            </w:r>
          </w:p>
        </w:tc>
      </w:tr>
      <w:tr>
        <w:tblPrEx>
          <w:tblCellMar>
            <w:top w:w="0" w:type="dxa"/>
            <w:left w:w="108" w:type="dxa"/>
            <w:bottom w:w="0" w:type="dxa"/>
            <w:right w:w="108" w:type="dxa"/>
          </w:tblCellMar>
        </w:tblPrEx>
        <w:trPr>
          <w:trHeight w:val="329" w:hRule="atLeast"/>
        </w:trPr>
        <w:tc>
          <w:tcPr>
            <w:tcW w:w="21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标准化设计</w:t>
            </w:r>
            <w:r>
              <w:rPr>
                <w:rFonts w:eastAsia="方正仿宋_GBK"/>
                <w:i/>
                <w:iCs/>
                <w:kern w:val="0"/>
                <w:sz w:val="24"/>
                <w:szCs w:val="24"/>
                <w:lang w:bidi="ar"/>
              </w:rPr>
              <w:t>Q</w:t>
            </w:r>
            <w:r>
              <w:rPr>
                <w:rFonts w:eastAsia="方正仿宋_GBK"/>
                <w:kern w:val="0"/>
                <w:sz w:val="24"/>
                <w:szCs w:val="24"/>
                <w:vertAlign w:val="subscript"/>
                <w:lang w:bidi="ar"/>
              </w:rPr>
              <w:t>1</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5</w:t>
            </w:r>
            <w:r>
              <w:rPr>
                <w:rFonts w:hint="eastAsia" w:eastAsia="方正仿宋_GBK"/>
                <w:kern w:val="0"/>
                <w:sz w:val="24"/>
                <w:szCs w:val="24"/>
                <w:lang w:bidi="ar"/>
              </w:rPr>
              <w:t>分）</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柱网和层高符合</w:t>
            </w:r>
            <w:r>
              <w:rPr>
                <w:rFonts w:eastAsia="方正仿宋_GBK"/>
                <w:kern w:val="0"/>
                <w:sz w:val="24"/>
                <w:szCs w:val="24"/>
                <w:lang w:bidi="ar"/>
              </w:rPr>
              <w:t>3M</w:t>
            </w:r>
            <w:r>
              <w:rPr>
                <w:rFonts w:hint="eastAsia" w:eastAsia="方正仿宋_GBK"/>
                <w:kern w:val="0"/>
                <w:sz w:val="24"/>
                <w:szCs w:val="24"/>
                <w:lang w:bidi="ar"/>
              </w:rPr>
              <w:t>模数</w:t>
            </w:r>
            <w:r>
              <w:rPr>
                <w:rFonts w:eastAsia="方正仿宋_GBK"/>
                <w:i/>
                <w:iCs/>
                <w:kern w:val="0"/>
                <w:sz w:val="24"/>
                <w:szCs w:val="24"/>
                <w:lang w:bidi="ar"/>
              </w:rPr>
              <w:t>q</w:t>
            </w:r>
            <w:r>
              <w:rPr>
                <w:rFonts w:eastAsia="方正仿宋_GBK"/>
                <w:kern w:val="0"/>
                <w:sz w:val="24"/>
                <w:szCs w:val="24"/>
                <w:vertAlign w:val="subscript"/>
                <w:lang w:bidi="ar"/>
              </w:rPr>
              <w:t>1b</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1</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r>
      <w:tr>
        <w:tblPrEx>
          <w:tblCellMar>
            <w:top w:w="0" w:type="dxa"/>
            <w:left w:w="108" w:type="dxa"/>
            <w:bottom w:w="0" w:type="dxa"/>
            <w:right w:w="108" w:type="dxa"/>
          </w:tblCellMar>
        </w:tblPrEx>
        <w:trPr>
          <w:trHeight w:val="329" w:hRule="atLeast"/>
        </w:trPr>
        <w:tc>
          <w:tcPr>
            <w:tcW w:w="2194" w:type="dxa"/>
            <w:gridSpan w:val="2"/>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标准化预制构件</w:t>
            </w:r>
            <w:r>
              <w:rPr>
                <w:rFonts w:eastAsia="方正仿宋_GBK"/>
                <w:i/>
                <w:iCs/>
                <w:kern w:val="0"/>
                <w:sz w:val="24"/>
                <w:szCs w:val="24"/>
                <w:lang w:bidi="ar"/>
              </w:rPr>
              <w:t>q</w:t>
            </w:r>
            <w:r>
              <w:rPr>
                <w:rFonts w:eastAsia="方正仿宋_GBK"/>
                <w:kern w:val="0"/>
                <w:sz w:val="24"/>
                <w:szCs w:val="24"/>
                <w:vertAlign w:val="subscript"/>
                <w:lang w:bidi="ar"/>
              </w:rPr>
              <w:t>1c</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hint="eastAsia" w:eastAsia="SJQY"/>
                <w:kern w:val="0"/>
                <w:sz w:val="22"/>
                <w:szCs w:val="22"/>
                <w:lang w:bidi="ar"/>
              </w:rPr>
              <w:t>≥</w:t>
            </w:r>
            <w:r>
              <w:rPr>
                <w:rFonts w:eastAsia="楷体_GB2312"/>
                <w:kern w:val="0"/>
                <w:sz w:val="22"/>
                <w:szCs w:val="22"/>
                <w:lang w:bidi="ar"/>
              </w:rPr>
              <w:t>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219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通用规格预制</w:t>
            </w:r>
            <w:r>
              <w:rPr>
                <w:rFonts w:hint="eastAsia" w:eastAsia="方正仿宋_GBK"/>
                <w:kern w:val="0"/>
                <w:sz w:val="24"/>
                <w:szCs w:val="24"/>
                <w:lang w:val="en-US" w:eastAsia="zh-CN" w:bidi="ar"/>
              </w:rPr>
              <w:t>混凝土</w:t>
            </w:r>
            <w:r>
              <w:rPr>
                <w:rFonts w:hint="eastAsia" w:eastAsia="方正仿宋_GBK"/>
                <w:kern w:val="0"/>
                <w:sz w:val="24"/>
                <w:szCs w:val="24"/>
                <w:lang w:bidi="ar"/>
              </w:rPr>
              <w:t>构件</w:t>
            </w:r>
            <w:r>
              <w:rPr>
                <w:rFonts w:eastAsia="方正仿宋_GBK"/>
                <w:i/>
                <w:iCs/>
                <w:kern w:val="0"/>
                <w:sz w:val="24"/>
                <w:szCs w:val="24"/>
                <w:lang w:bidi="ar"/>
              </w:rPr>
              <w:t>q</w:t>
            </w:r>
            <w:r>
              <w:rPr>
                <w:rFonts w:eastAsia="方正仿宋_GBK"/>
                <w:kern w:val="0"/>
                <w:sz w:val="24"/>
                <w:szCs w:val="24"/>
                <w:vertAlign w:val="subscript"/>
                <w:lang w:bidi="ar"/>
              </w:rPr>
              <w:t>1d</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hint="eastAsia" w:eastAsia="SJQY"/>
                <w:kern w:val="0"/>
                <w:sz w:val="22"/>
                <w:szCs w:val="22"/>
                <w:lang w:bidi="ar"/>
              </w:rPr>
              <w:t>≥</w:t>
            </w:r>
            <w:r>
              <w:rPr>
                <w:rFonts w:eastAsia="楷体_GB2312"/>
                <w:kern w:val="0"/>
                <w:sz w:val="22"/>
                <w:szCs w:val="22"/>
                <w:lang w:bidi="ar"/>
              </w:rPr>
              <w:t>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rPr>
          <w:trHeight w:val="329" w:hRule="atLeast"/>
        </w:trPr>
        <w:tc>
          <w:tcPr>
            <w:tcW w:w="1183"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主体</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结构</w:t>
            </w:r>
          </w:p>
          <w:p>
            <w:pPr>
              <w:widowControl/>
              <w:spacing w:line="400" w:lineRule="exact"/>
              <w:jc w:val="center"/>
              <w:textAlignment w:val="center"/>
              <w:rPr>
                <w:rFonts w:eastAsia="方正仿宋_GBK"/>
                <w:i/>
                <w:iCs/>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2</w:t>
            </w:r>
          </w:p>
          <w:p>
            <w:pPr>
              <w:widowControl/>
              <w:spacing w:line="400" w:lineRule="exact"/>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50</w:t>
            </w:r>
            <w:r>
              <w:rPr>
                <w:rFonts w:hint="eastAsia" w:eastAsia="方正仿宋_GBK"/>
                <w:kern w:val="0"/>
                <w:sz w:val="24"/>
                <w:szCs w:val="24"/>
                <w:lang w:bidi="ar"/>
              </w:rPr>
              <w:t>分）</w:t>
            </w:r>
          </w:p>
        </w:tc>
        <w:tc>
          <w:tcPr>
            <w:tcW w:w="101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预制</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构件</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竖向预制构件</w:t>
            </w:r>
            <w:r>
              <w:rPr>
                <w:rFonts w:eastAsia="方正仿宋_GBK"/>
                <w:i/>
                <w:iCs/>
                <w:kern w:val="0"/>
                <w:sz w:val="24"/>
                <w:szCs w:val="24"/>
                <w:lang w:bidi="ar"/>
              </w:rPr>
              <w:t>q</w:t>
            </w:r>
            <w:r>
              <w:rPr>
                <w:rFonts w:eastAsia="方正仿宋_GBK"/>
                <w:kern w:val="0"/>
                <w:sz w:val="24"/>
                <w:szCs w:val="24"/>
                <w:vertAlign w:val="subscript"/>
                <w:lang w:bidi="ar"/>
              </w:rPr>
              <w:t>2a</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25%-60%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5-10</w:t>
            </w:r>
          </w:p>
        </w:tc>
        <w:tc>
          <w:tcPr>
            <w:tcW w:w="751"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26</w:t>
            </w:r>
          </w:p>
        </w:tc>
      </w:tr>
      <w:tr>
        <w:tblPrEx>
          <w:tblCellMar>
            <w:top w:w="0" w:type="dxa"/>
            <w:left w:w="108" w:type="dxa"/>
            <w:bottom w:w="0" w:type="dxa"/>
            <w:right w:w="108" w:type="dxa"/>
          </w:tblCellMar>
        </w:tblPrEx>
        <w:trPr>
          <w:trHeight w:val="329" w:hRule="atLeast"/>
        </w:trPr>
        <w:tc>
          <w:tcPr>
            <w:tcW w:w="1183"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梁类预制构件</w:t>
            </w:r>
            <w:r>
              <w:rPr>
                <w:rFonts w:eastAsia="方正仿宋_GBK"/>
                <w:i/>
                <w:iCs/>
                <w:kern w:val="0"/>
                <w:sz w:val="24"/>
                <w:szCs w:val="24"/>
                <w:lang w:bidi="ar"/>
              </w:rPr>
              <w:t>q</w:t>
            </w:r>
            <w:r>
              <w:rPr>
                <w:rFonts w:eastAsia="方正仿宋_GBK"/>
                <w:kern w:val="0"/>
                <w:sz w:val="24"/>
                <w:szCs w:val="24"/>
                <w:vertAlign w:val="subscript"/>
                <w:lang w:bidi="ar"/>
              </w:rPr>
              <w:t>2b</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25%-60%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10-20</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板类预制构件</w:t>
            </w:r>
            <w:r>
              <w:rPr>
                <w:rFonts w:eastAsia="方正仿宋_GBK"/>
                <w:i/>
                <w:iCs/>
                <w:kern w:val="0"/>
                <w:sz w:val="24"/>
                <w:szCs w:val="24"/>
                <w:lang w:bidi="ar"/>
              </w:rPr>
              <w:t>q</w:t>
            </w:r>
            <w:r>
              <w:rPr>
                <w:rFonts w:eastAsia="方正仿宋_GBK"/>
                <w:kern w:val="0"/>
                <w:sz w:val="24"/>
                <w:szCs w:val="24"/>
                <w:vertAlign w:val="subscript"/>
                <w:lang w:bidi="ar"/>
              </w:rPr>
              <w:t>2c</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70%-90%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7-12</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restart"/>
            <w:tcBorders>
              <w:top w:val="single" w:color="000000" w:sz="4" w:space="0"/>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支撑</w:t>
            </w:r>
          </w:p>
          <w:p>
            <w:pPr>
              <w:widowControl/>
              <w:spacing w:line="400" w:lineRule="exact"/>
              <w:jc w:val="center"/>
              <w:textAlignment w:val="center"/>
            </w:pPr>
            <w:r>
              <w:rPr>
                <w:rFonts w:hint="eastAsia" w:eastAsia="方正仿宋_GBK"/>
                <w:kern w:val="0"/>
                <w:sz w:val="24"/>
                <w:szCs w:val="24"/>
                <w:lang w:bidi="ar"/>
              </w:rPr>
              <w:t>系统</w:t>
            </w:r>
          </w:p>
        </w:tc>
        <w:tc>
          <w:tcPr>
            <w:tcW w:w="1097" w:type="dxa"/>
            <w:vMerge w:val="restart"/>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eastAsia="方正仿宋_GBK"/>
                <w:i/>
                <w:iCs/>
                <w:kern w:val="0"/>
                <w:sz w:val="24"/>
                <w:szCs w:val="24"/>
                <w:vertAlign w:val="subscript"/>
                <w:lang w:bidi="ar"/>
              </w:rPr>
            </w:pPr>
            <w:r>
              <w:rPr>
                <w:rFonts w:eastAsia="方正仿宋_GBK"/>
                <w:i/>
                <w:iCs/>
                <w:kern w:val="0"/>
                <w:sz w:val="24"/>
                <w:szCs w:val="24"/>
                <w:lang w:bidi="ar"/>
              </w:rPr>
              <w:t>q</w:t>
            </w:r>
            <w:r>
              <w:rPr>
                <w:rFonts w:eastAsia="方正仿宋_GBK"/>
                <w:kern w:val="0"/>
                <w:sz w:val="24"/>
                <w:szCs w:val="24"/>
                <w:vertAlign w:val="subscript"/>
                <w:lang w:bidi="ar"/>
              </w:rPr>
              <w:t>2d</w:t>
            </w:r>
          </w:p>
          <w:p>
            <w:pPr>
              <w:widowControl/>
              <w:spacing w:line="400" w:lineRule="exact"/>
              <w:jc w:val="center"/>
              <w:textAlignment w:val="center"/>
            </w:pPr>
            <w:r>
              <w:rPr>
                <w:rFonts w:hint="eastAsia" w:eastAsia="方正仿宋_GBK"/>
                <w:kern w:val="0"/>
                <w:sz w:val="24"/>
                <w:szCs w:val="24"/>
                <w:lang w:bidi="ar"/>
              </w:rPr>
              <w:t>五选一</w:t>
            </w:r>
          </w:p>
        </w:tc>
        <w:tc>
          <w:tcPr>
            <w:tcW w:w="32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铝合金井字支撑系统</w:t>
            </w:r>
          </w:p>
        </w:tc>
        <w:tc>
          <w:tcPr>
            <w:tcW w:w="123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4</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1097"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sz w:val="24"/>
                <w:szCs w:val="28"/>
              </w:rPr>
              <w:t>竖向支撑间距不小于</w:t>
            </w:r>
            <w:r>
              <w:rPr>
                <w:rFonts w:eastAsia="方正仿宋_GBK"/>
                <w:sz w:val="24"/>
                <w:szCs w:val="28"/>
              </w:rPr>
              <w:t>2m</w:t>
            </w:r>
          </w:p>
        </w:tc>
        <w:tc>
          <w:tcPr>
            <w:tcW w:w="123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4</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rPr>
          <w:trHeight w:val="329" w:hRule="atLeast"/>
        </w:trPr>
        <w:tc>
          <w:tcPr>
            <w:tcW w:w="1183"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1097"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预制梁跨中免支撑</w:t>
            </w:r>
          </w:p>
        </w:tc>
        <w:tc>
          <w:tcPr>
            <w:tcW w:w="123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1097"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预制板跨中免支撑</w:t>
            </w:r>
          </w:p>
        </w:tc>
        <w:tc>
          <w:tcPr>
            <w:tcW w:w="123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97" w:type="dxa"/>
            <w:vMerge w:val="continue"/>
            <w:tcBorders>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42" w:type="dxa"/>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预制楼盖免支撑</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8</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围护墙和内隔墙</w:t>
            </w:r>
            <w:r>
              <w:rPr>
                <w:rFonts w:eastAsia="方正仿宋_GBK"/>
                <w:i/>
                <w:iCs/>
                <w:kern w:val="0"/>
                <w:sz w:val="24"/>
                <w:szCs w:val="24"/>
                <w:lang w:bidi="ar"/>
              </w:rPr>
              <w:t>Q</w:t>
            </w:r>
            <w:r>
              <w:rPr>
                <w:rFonts w:eastAsia="方正仿宋_GBK"/>
                <w:kern w:val="0"/>
                <w:sz w:val="24"/>
                <w:szCs w:val="24"/>
                <w:vertAlign w:val="subscript"/>
                <w:lang w:bidi="ar"/>
              </w:rPr>
              <w:t>3</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18</w:t>
            </w:r>
            <w:r>
              <w:rPr>
                <w:rFonts w:hint="eastAsia" w:eastAsia="方正仿宋_GBK"/>
                <w:kern w:val="0"/>
                <w:sz w:val="24"/>
                <w:szCs w:val="24"/>
                <w:lang w:bidi="ar"/>
              </w:rPr>
              <w:t>分）</w:t>
            </w:r>
          </w:p>
        </w:tc>
        <w:tc>
          <w:tcPr>
            <w:tcW w:w="101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围护墙</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装配式非承重围护墙</w:t>
            </w:r>
            <w:r>
              <w:rPr>
                <w:rFonts w:eastAsia="方正仿宋_GBK"/>
                <w:i/>
                <w:iCs/>
                <w:kern w:val="0"/>
                <w:sz w:val="24"/>
                <w:szCs w:val="24"/>
                <w:lang w:bidi="ar"/>
              </w:rPr>
              <w:t>q</w:t>
            </w:r>
            <w:r>
              <w:rPr>
                <w:rFonts w:eastAsia="方正仿宋_GBK"/>
                <w:kern w:val="0"/>
                <w:sz w:val="24"/>
                <w:szCs w:val="24"/>
                <w:vertAlign w:val="subscript"/>
                <w:lang w:bidi="ar"/>
              </w:rPr>
              <w:t>3a</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50%-80%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5-8</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装配式围护墙与保温一体化</w:t>
            </w:r>
            <w:r>
              <w:rPr>
                <w:rFonts w:eastAsia="方正仿宋_GBK"/>
                <w:i/>
                <w:iCs/>
                <w:kern w:val="0"/>
                <w:sz w:val="24"/>
                <w:szCs w:val="24"/>
                <w:lang w:bidi="ar"/>
              </w:rPr>
              <w:t>q</w:t>
            </w:r>
            <w:r>
              <w:rPr>
                <w:rFonts w:eastAsia="方正仿宋_GBK"/>
                <w:kern w:val="0"/>
                <w:sz w:val="24"/>
                <w:szCs w:val="24"/>
                <w:vertAlign w:val="subscript"/>
                <w:lang w:bidi="ar"/>
              </w:rPr>
              <w:t>3b</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装配式围护墙与装饰一体化</w:t>
            </w:r>
            <w:r>
              <w:rPr>
                <w:rFonts w:eastAsia="方正仿宋_GBK"/>
                <w:i/>
                <w:iCs/>
                <w:kern w:val="0"/>
                <w:sz w:val="24"/>
                <w:szCs w:val="24"/>
                <w:lang w:bidi="ar"/>
              </w:rPr>
              <w:t>q</w:t>
            </w:r>
            <w:r>
              <w:rPr>
                <w:rFonts w:eastAsia="方正仿宋_GBK"/>
                <w:kern w:val="0"/>
                <w:sz w:val="24"/>
                <w:szCs w:val="24"/>
                <w:vertAlign w:val="subscript"/>
                <w:lang w:bidi="ar"/>
              </w:rPr>
              <w:t>3c</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内隔墙</w:t>
            </w:r>
          </w:p>
        </w:tc>
        <w:tc>
          <w:tcPr>
            <w:tcW w:w="4339" w:type="dxa"/>
            <w:gridSpan w:val="2"/>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装配式非承重内隔墙</w:t>
            </w:r>
            <w:r>
              <w:rPr>
                <w:rFonts w:eastAsia="方正仿宋_GBK"/>
                <w:i/>
                <w:iCs/>
                <w:kern w:val="0"/>
                <w:sz w:val="24"/>
                <w:szCs w:val="24"/>
                <w:lang w:bidi="ar"/>
              </w:rPr>
              <w:t>q</w:t>
            </w:r>
            <w:r>
              <w:rPr>
                <w:rFonts w:eastAsia="方正仿宋_GBK"/>
                <w:kern w:val="0"/>
                <w:sz w:val="24"/>
                <w:szCs w:val="24"/>
                <w:vertAlign w:val="subscript"/>
                <w:lang w:bidi="ar"/>
              </w:rPr>
              <w:t>3d</w:t>
            </w:r>
          </w:p>
        </w:tc>
        <w:tc>
          <w:tcPr>
            <w:tcW w:w="1235"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eastAsia="楷体_GB2312"/>
                <w:kern w:val="0"/>
                <w:sz w:val="22"/>
                <w:szCs w:val="22"/>
                <w:lang w:bidi="ar"/>
              </w:rPr>
            </w:pPr>
            <w:r>
              <w:rPr>
                <w:rFonts w:hint="eastAsia" w:eastAsia="SJQY"/>
                <w:kern w:val="0"/>
                <w:sz w:val="22"/>
                <w:szCs w:val="22"/>
                <w:lang w:bidi="ar"/>
              </w:rPr>
              <w:t>≥</w:t>
            </w:r>
            <w:r>
              <w:rPr>
                <w:rFonts w:eastAsia="楷体_GB2312"/>
                <w:kern w:val="0"/>
                <w:sz w:val="22"/>
                <w:szCs w:val="22"/>
                <w:lang w:bidi="ar"/>
              </w:rPr>
              <w:t>80%</w:t>
            </w:r>
          </w:p>
        </w:tc>
        <w:tc>
          <w:tcPr>
            <w:tcW w:w="8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6</w:t>
            </w:r>
          </w:p>
        </w:tc>
        <w:tc>
          <w:tcPr>
            <w:tcW w:w="75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装修和</w:t>
            </w:r>
            <w:r>
              <w:rPr>
                <w:rFonts w:eastAsia="方正仿宋_GBK"/>
                <w:kern w:val="0"/>
                <w:sz w:val="24"/>
                <w:szCs w:val="24"/>
                <w:lang w:bidi="ar"/>
              </w:rPr>
              <w:br w:type="textWrapping"/>
            </w:r>
            <w:r>
              <w:rPr>
                <w:rFonts w:hint="eastAsia" w:eastAsia="方正仿宋_GBK"/>
                <w:kern w:val="0"/>
                <w:sz w:val="24"/>
                <w:szCs w:val="24"/>
                <w:lang w:bidi="ar"/>
              </w:rPr>
              <w:t>设备管线</w:t>
            </w:r>
          </w:p>
          <w:p>
            <w:pPr>
              <w:widowControl/>
              <w:spacing w:line="400" w:lineRule="exact"/>
              <w:jc w:val="center"/>
              <w:textAlignment w:val="center"/>
              <w:rPr>
                <w:rFonts w:eastAsia="方正仿宋_GBK"/>
                <w:i/>
                <w:iCs/>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4</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27</w:t>
            </w:r>
            <w:r>
              <w:rPr>
                <w:rFonts w:hint="eastAsia" w:eastAsia="方正仿宋_GBK"/>
                <w:kern w:val="0"/>
                <w:sz w:val="24"/>
                <w:szCs w:val="24"/>
                <w:lang w:bidi="ar"/>
              </w:rPr>
              <w:t>分）</w:t>
            </w:r>
          </w:p>
        </w:tc>
        <w:tc>
          <w:tcPr>
            <w:tcW w:w="1011"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pPr>
            <w:r>
              <w:rPr>
                <w:rFonts w:hint="eastAsia" w:eastAsia="方正仿宋_GBK"/>
                <w:kern w:val="0"/>
                <w:sz w:val="24"/>
                <w:szCs w:val="24"/>
                <w:lang w:bidi="ar"/>
              </w:rPr>
              <w:t>装修</w:t>
            </w:r>
          </w:p>
        </w:tc>
        <w:tc>
          <w:tcPr>
            <w:tcW w:w="1097" w:type="dxa"/>
            <w:vMerge w:val="restart"/>
            <w:tcBorders>
              <w:top w:val="single" w:color="000000" w:sz="4" w:space="0"/>
              <w:left w:val="single" w:color="000000" w:sz="4" w:space="0"/>
              <w:right w:val="single" w:color="auto" w:sz="4" w:space="0"/>
            </w:tcBorders>
            <w:vAlign w:val="center"/>
          </w:tcPr>
          <w:p>
            <w:pPr>
              <w:widowControl/>
              <w:spacing w:line="400" w:lineRule="exact"/>
              <w:jc w:val="center"/>
              <w:textAlignment w:val="center"/>
              <w:rPr>
                <w:rFonts w:eastAsia="方正仿宋_GBK"/>
                <w:i/>
                <w:iCs/>
                <w:kern w:val="0"/>
                <w:sz w:val="24"/>
                <w:szCs w:val="24"/>
                <w:vertAlign w:val="subscript"/>
                <w:lang w:bidi="ar"/>
              </w:rPr>
            </w:pPr>
            <w:r>
              <w:rPr>
                <w:rFonts w:eastAsia="方正仿宋_GBK"/>
                <w:i/>
                <w:iCs/>
                <w:kern w:val="0"/>
                <w:sz w:val="24"/>
                <w:szCs w:val="24"/>
                <w:lang w:bidi="ar"/>
              </w:rPr>
              <w:t>q</w:t>
            </w:r>
            <w:r>
              <w:rPr>
                <w:rFonts w:eastAsia="方正仿宋_GBK"/>
                <w:kern w:val="0"/>
                <w:sz w:val="24"/>
                <w:szCs w:val="24"/>
                <w:vertAlign w:val="subscript"/>
                <w:lang w:bidi="ar"/>
              </w:rPr>
              <w:t>4a</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四选一</w:t>
            </w:r>
          </w:p>
        </w:tc>
        <w:tc>
          <w:tcPr>
            <w:tcW w:w="3242"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全装修</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（含公区工业化装修）</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8</w:t>
            </w:r>
          </w:p>
        </w:tc>
        <w:tc>
          <w:tcPr>
            <w:tcW w:w="751" w:type="dxa"/>
            <w:vMerge w:val="restart"/>
            <w:tcBorders>
              <w:top w:val="single" w:color="000000" w:sz="4" w:space="0"/>
              <w:left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4</w:t>
            </w:r>
          </w:p>
        </w:tc>
      </w:tr>
      <w:tr>
        <w:tblPrEx>
          <w:tblCellMar>
            <w:top w:w="0" w:type="dxa"/>
            <w:left w:w="108" w:type="dxa"/>
            <w:bottom w:w="0" w:type="dxa"/>
            <w:right w:w="108" w:type="dxa"/>
          </w:tblCellMar>
        </w:tblPrEx>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97"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42"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全装修</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6</w:t>
            </w:r>
          </w:p>
        </w:tc>
        <w:tc>
          <w:tcPr>
            <w:tcW w:w="751" w:type="dxa"/>
            <w:vMerge w:val="continue"/>
            <w:tcBorders>
              <w:left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97"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42"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确定使用功能的区域装修</w:t>
            </w:r>
          </w:p>
          <w:p>
            <w:pPr>
              <w:widowControl/>
              <w:spacing w:line="400" w:lineRule="exact"/>
              <w:jc w:val="center"/>
              <w:textAlignment w:val="center"/>
            </w:pPr>
            <w:r>
              <w:rPr>
                <w:rFonts w:hint="eastAsia" w:eastAsia="方正仿宋_GBK"/>
                <w:kern w:val="0"/>
                <w:sz w:val="24"/>
                <w:szCs w:val="24"/>
                <w:lang w:bidi="ar"/>
              </w:rPr>
              <w:t>（含公区工业化装修）</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6</w:t>
            </w:r>
          </w:p>
        </w:tc>
        <w:tc>
          <w:tcPr>
            <w:tcW w:w="751" w:type="dxa"/>
            <w:vMerge w:val="continue"/>
            <w:tcBorders>
              <w:left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97" w:type="dxa"/>
            <w:vMerge w:val="continue"/>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42"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确定使用功能的区域装修</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4</w:t>
            </w:r>
          </w:p>
        </w:tc>
        <w:tc>
          <w:tcPr>
            <w:tcW w:w="751" w:type="dxa"/>
            <w:vMerge w:val="continue"/>
            <w:tcBorders>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装配式吊顶</w:t>
            </w:r>
            <w:r>
              <w:rPr>
                <w:rFonts w:eastAsia="方正仿宋_GBK"/>
                <w:i/>
                <w:iCs/>
                <w:kern w:val="0"/>
                <w:sz w:val="24"/>
                <w:szCs w:val="24"/>
                <w:lang w:bidi="ar"/>
              </w:rPr>
              <w:t>q</w:t>
            </w:r>
            <w:r>
              <w:rPr>
                <w:rFonts w:eastAsia="方正仿宋_GBK"/>
                <w:kern w:val="0"/>
                <w:sz w:val="24"/>
                <w:szCs w:val="24"/>
                <w:vertAlign w:val="subscript"/>
                <w:lang w:bidi="ar"/>
              </w:rPr>
              <w:t>4d</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70%-90%</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3-4.5</w:t>
            </w:r>
          </w:p>
        </w:tc>
        <w:tc>
          <w:tcPr>
            <w:tcW w:w="751" w:type="dxa"/>
            <w:vMerge w:val="restart"/>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r>
      <w:tr>
        <w:tblPrEx>
          <w:tblCellMar>
            <w:top w:w="0" w:type="dxa"/>
            <w:left w:w="108" w:type="dxa"/>
            <w:bottom w:w="0" w:type="dxa"/>
            <w:right w:w="108" w:type="dxa"/>
          </w:tblCellMar>
        </w:tblPrEx>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干法楼地面</w:t>
            </w:r>
            <w:r>
              <w:rPr>
                <w:rFonts w:eastAsia="方正仿宋_GBK"/>
                <w:i/>
                <w:iCs/>
                <w:kern w:val="0"/>
                <w:sz w:val="24"/>
                <w:szCs w:val="24"/>
                <w:lang w:bidi="ar"/>
              </w:rPr>
              <w:t>q</w:t>
            </w:r>
            <w:r>
              <w:rPr>
                <w:rFonts w:eastAsia="方正仿宋_GBK"/>
                <w:kern w:val="0"/>
                <w:sz w:val="24"/>
                <w:szCs w:val="24"/>
                <w:vertAlign w:val="subscript"/>
                <w:lang w:bidi="ar"/>
              </w:rPr>
              <w:t>4e</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70%-90%</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3-4.5</w:t>
            </w:r>
          </w:p>
        </w:tc>
        <w:tc>
          <w:tcPr>
            <w:tcW w:w="751" w:type="dxa"/>
            <w:vMerge w:val="continue"/>
            <w:tcBorders>
              <w:left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val="en-US" w:eastAsia="zh-CN" w:bidi="ar"/>
              </w:rPr>
              <w:t>装配式墙面</w:t>
            </w:r>
            <w:r>
              <w:rPr>
                <w:rFonts w:eastAsia="方正仿宋_GBK"/>
                <w:i/>
                <w:iCs/>
                <w:kern w:val="0"/>
                <w:sz w:val="24"/>
                <w:szCs w:val="24"/>
                <w:lang w:bidi="ar"/>
              </w:rPr>
              <w:t>q</w:t>
            </w:r>
            <w:r>
              <w:rPr>
                <w:rFonts w:eastAsia="方正仿宋_GBK"/>
                <w:kern w:val="0"/>
                <w:sz w:val="24"/>
                <w:szCs w:val="24"/>
                <w:vertAlign w:val="subscript"/>
                <w:lang w:bidi="ar"/>
              </w:rPr>
              <w:t>4f</w:t>
            </w:r>
          </w:p>
        </w:tc>
        <w:tc>
          <w:tcPr>
            <w:tcW w:w="123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70%-90%</w:t>
            </w:r>
          </w:p>
        </w:tc>
        <w:tc>
          <w:tcPr>
            <w:tcW w:w="83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3-4.5</w:t>
            </w: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r>
      <w:tr>
        <w:tblPrEx>
          <w:tblCellMar>
            <w:top w:w="0" w:type="dxa"/>
            <w:left w:w="108" w:type="dxa"/>
            <w:bottom w:w="0" w:type="dxa"/>
            <w:right w:w="108" w:type="dxa"/>
          </w:tblCellMar>
        </w:tblPrEx>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管线</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管线分离</w:t>
            </w:r>
            <w:r>
              <w:rPr>
                <w:rFonts w:eastAsia="方正仿宋_GBK"/>
                <w:i/>
                <w:iCs/>
                <w:kern w:val="0"/>
                <w:sz w:val="24"/>
                <w:szCs w:val="24"/>
                <w:lang w:bidi="ar"/>
              </w:rPr>
              <w:t>q</w:t>
            </w:r>
            <w:r>
              <w:rPr>
                <w:rFonts w:eastAsia="方正仿宋_GBK"/>
                <w:kern w:val="0"/>
                <w:sz w:val="24"/>
                <w:szCs w:val="24"/>
                <w:vertAlign w:val="subscript"/>
                <w:lang w:bidi="ar"/>
              </w:rPr>
              <w:t>4g</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50%-70%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2-4</w:t>
            </w:r>
          </w:p>
        </w:tc>
        <w:tc>
          <w:tcPr>
            <w:tcW w:w="751"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楷体_GB2312"/>
                <w:kern w:val="0"/>
                <w:sz w:val="22"/>
                <w:szCs w:val="22"/>
                <w:lang w:bidi="ar"/>
              </w:rPr>
              <w:t>—</w:t>
            </w:r>
          </w:p>
        </w:tc>
      </w:tr>
      <w:tr>
        <w:tblPrEx>
          <w:tblCellMar>
            <w:top w:w="0" w:type="dxa"/>
            <w:left w:w="108" w:type="dxa"/>
            <w:bottom w:w="0" w:type="dxa"/>
            <w:right w:w="108" w:type="dxa"/>
          </w:tblCellMar>
        </w:tblPrEx>
        <w:trPr>
          <w:trHeight w:val="329"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管线一体化</w:t>
            </w:r>
            <w:r>
              <w:rPr>
                <w:rFonts w:eastAsia="方正仿宋_GBK"/>
                <w:i/>
                <w:iCs/>
                <w:kern w:val="0"/>
                <w:sz w:val="24"/>
                <w:szCs w:val="24"/>
                <w:lang w:bidi="ar"/>
              </w:rPr>
              <w:t>q</w:t>
            </w:r>
            <w:r>
              <w:rPr>
                <w:rFonts w:eastAsia="方正仿宋_GBK"/>
                <w:kern w:val="0"/>
                <w:sz w:val="24"/>
                <w:szCs w:val="24"/>
                <w:vertAlign w:val="subscript"/>
                <w:lang w:bidi="ar"/>
              </w:rPr>
              <w:t>4h</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1.5</w:t>
            </w:r>
          </w:p>
        </w:tc>
        <w:tc>
          <w:tcPr>
            <w:tcW w:w="751" w:type="dxa"/>
            <w:vMerge w:val="continue"/>
            <w:tcBorders>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r>
      <w:tr>
        <w:tblPrEx>
          <w:tblCellMar>
            <w:top w:w="0" w:type="dxa"/>
            <w:left w:w="108" w:type="dxa"/>
            <w:bottom w:w="0" w:type="dxa"/>
            <w:right w:w="108" w:type="dxa"/>
          </w:tblCellMar>
        </w:tblPrEx>
        <w:trPr>
          <w:trHeight w:val="329" w:hRule="atLeast"/>
        </w:trPr>
        <w:tc>
          <w:tcPr>
            <w:tcW w:w="2194" w:type="dxa"/>
            <w:gridSpan w:val="2"/>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智能建造</w:t>
            </w:r>
          </w:p>
          <w:p>
            <w:pPr>
              <w:widowControl/>
              <w:spacing w:line="400" w:lineRule="exact"/>
              <w:jc w:val="center"/>
              <w:textAlignment w:val="center"/>
              <w:rPr>
                <w:rFonts w:eastAsia="方正仿宋_GBK"/>
                <w:i/>
                <w:iCs/>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5</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6</w:t>
            </w:r>
            <w:r>
              <w:rPr>
                <w:rFonts w:hint="eastAsia" w:eastAsia="方正仿宋_GBK"/>
                <w:kern w:val="0"/>
                <w:sz w:val="24"/>
                <w:szCs w:val="24"/>
                <w:lang w:bidi="ar"/>
              </w:rPr>
              <w:t>分）</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BIM</w:t>
            </w:r>
            <w:r>
              <w:rPr>
                <w:rFonts w:hint="eastAsia" w:eastAsia="方正仿宋_GBK"/>
                <w:kern w:val="0"/>
                <w:sz w:val="24"/>
                <w:szCs w:val="24"/>
                <w:lang w:bidi="ar"/>
              </w:rPr>
              <w:t>技术应用</w:t>
            </w:r>
            <w:r>
              <w:rPr>
                <w:rFonts w:eastAsia="方正仿宋_GBK"/>
                <w:i/>
                <w:iCs/>
                <w:kern w:val="0"/>
                <w:sz w:val="24"/>
                <w:szCs w:val="24"/>
                <w:lang w:bidi="ar"/>
              </w:rPr>
              <w:t>q</w:t>
            </w:r>
            <w:r>
              <w:rPr>
                <w:rFonts w:eastAsia="方正仿宋_GBK"/>
                <w:kern w:val="0"/>
                <w:sz w:val="24"/>
                <w:szCs w:val="24"/>
                <w:vertAlign w:val="subscript"/>
                <w:lang w:bidi="ar"/>
              </w:rPr>
              <w:t>5a</w:t>
            </w:r>
          </w:p>
        </w:tc>
        <w:tc>
          <w:tcPr>
            <w:tcW w:w="1235"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0.5-2</w:t>
            </w:r>
          </w:p>
        </w:tc>
        <w:tc>
          <w:tcPr>
            <w:tcW w:w="751" w:type="dxa"/>
            <w:vMerge w:val="restart"/>
            <w:tcBorders>
              <w:top w:val="single" w:color="auto" w:sz="4" w:space="0"/>
              <w:left w:val="single" w:color="000000"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r>
      <w:tr>
        <w:tblPrEx>
          <w:tblCellMar>
            <w:top w:w="0" w:type="dxa"/>
            <w:left w:w="108" w:type="dxa"/>
            <w:bottom w:w="0" w:type="dxa"/>
            <w:right w:w="108" w:type="dxa"/>
          </w:tblCellMar>
        </w:tblPrEx>
        <w:trPr>
          <w:trHeight w:val="329" w:hRule="atLeast"/>
        </w:trPr>
        <w:tc>
          <w:tcPr>
            <w:tcW w:w="2194"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智能化装备应用</w:t>
            </w:r>
            <w:r>
              <w:rPr>
                <w:rFonts w:eastAsia="方正仿宋_GBK"/>
                <w:i/>
                <w:iCs/>
                <w:kern w:val="0"/>
                <w:sz w:val="24"/>
                <w:szCs w:val="24"/>
                <w:lang w:bidi="ar"/>
              </w:rPr>
              <w:t>q</w:t>
            </w:r>
            <w:r>
              <w:rPr>
                <w:rFonts w:eastAsia="方正仿宋_GBK"/>
                <w:kern w:val="0"/>
                <w:sz w:val="24"/>
                <w:szCs w:val="24"/>
                <w:vertAlign w:val="subscript"/>
                <w:lang w:bidi="ar"/>
              </w:rPr>
              <w:t>5b</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0.5-3</w:t>
            </w:r>
          </w:p>
        </w:tc>
        <w:tc>
          <w:tcPr>
            <w:tcW w:w="751"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trPr>
        <w:tc>
          <w:tcPr>
            <w:tcW w:w="2194" w:type="dxa"/>
            <w:gridSpan w:val="2"/>
            <w:vMerge w:val="continue"/>
            <w:tcBorders>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39"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数字化档案</w:t>
            </w:r>
            <w:r>
              <w:rPr>
                <w:rFonts w:eastAsia="方正仿宋_GBK"/>
                <w:kern w:val="0"/>
                <w:sz w:val="24"/>
                <w:szCs w:val="24"/>
                <w:lang w:bidi="ar"/>
              </w:rPr>
              <w:t xml:space="preserve"> </w:t>
            </w:r>
            <w:r>
              <w:rPr>
                <w:rFonts w:eastAsia="方正仿宋_GBK"/>
                <w:i/>
                <w:iCs/>
                <w:kern w:val="0"/>
                <w:sz w:val="24"/>
                <w:szCs w:val="24"/>
                <w:lang w:bidi="ar"/>
              </w:rPr>
              <w:t>q</w:t>
            </w:r>
            <w:r>
              <w:rPr>
                <w:rFonts w:eastAsia="方正仿宋_GBK"/>
                <w:kern w:val="0"/>
                <w:sz w:val="24"/>
                <w:szCs w:val="24"/>
                <w:vertAlign w:val="subscript"/>
                <w:lang w:bidi="ar"/>
              </w:rPr>
              <w:t>5c</w:t>
            </w:r>
          </w:p>
        </w:tc>
        <w:tc>
          <w:tcPr>
            <w:tcW w:w="123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83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1</w:t>
            </w:r>
          </w:p>
        </w:tc>
        <w:tc>
          <w:tcPr>
            <w:tcW w:w="751" w:type="dxa"/>
            <w:vMerge w:val="continue"/>
            <w:tcBorders>
              <w:left w:val="single" w:color="000000"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p>
        </w:tc>
      </w:tr>
    </w:tbl>
    <w:p>
      <w:pPr>
        <w:widowControl/>
        <w:spacing w:line="480" w:lineRule="exact"/>
        <w:jc w:val="center"/>
        <w:textAlignment w:val="center"/>
        <w:rPr>
          <w:rFonts w:eastAsia="方正黑体_GBK"/>
          <w:bCs/>
        </w:rPr>
      </w:pPr>
      <w:r>
        <w:rPr>
          <w:rFonts w:hint="eastAsia" w:eastAsia="方正黑体_GBK"/>
          <w:bCs/>
        </w:rPr>
        <w:t>表</w:t>
      </w:r>
      <w:r>
        <w:rPr>
          <w:rFonts w:eastAsia="方正黑体_GBK"/>
          <w:bCs/>
        </w:rPr>
        <w:t xml:space="preserve">3 </w:t>
      </w:r>
      <w:r>
        <w:rPr>
          <w:rFonts w:hint="eastAsia" w:eastAsia="方正黑体_GBK"/>
          <w:bCs/>
        </w:rPr>
        <w:t>工业建筑计分表</w:t>
      </w:r>
    </w:p>
    <w:tbl>
      <w:tblPr>
        <w:tblStyle w:val="10"/>
        <w:tblpPr w:leftFromText="180" w:rightFromText="180" w:vertAnchor="text" w:horzAnchor="page" w:tblpX="1541" w:tblpY="381"/>
        <w:tblOverlap w:val="never"/>
        <w:tblW w:w="9354" w:type="dxa"/>
        <w:jc w:val="center"/>
        <w:tblLayout w:type="autofit"/>
        <w:tblCellMar>
          <w:top w:w="0" w:type="dxa"/>
          <w:left w:w="108" w:type="dxa"/>
          <w:bottom w:w="0" w:type="dxa"/>
          <w:right w:w="108" w:type="dxa"/>
        </w:tblCellMar>
      </w:tblPr>
      <w:tblGrid>
        <w:gridCol w:w="1247"/>
        <w:gridCol w:w="1016"/>
        <w:gridCol w:w="1096"/>
        <w:gridCol w:w="3283"/>
        <w:gridCol w:w="1264"/>
        <w:gridCol w:w="750"/>
        <w:gridCol w:w="698"/>
      </w:tblGrid>
      <w:tr>
        <w:tblPrEx>
          <w:tblCellMar>
            <w:top w:w="0" w:type="dxa"/>
            <w:left w:w="108" w:type="dxa"/>
            <w:bottom w:w="0" w:type="dxa"/>
            <w:right w:w="108" w:type="dxa"/>
          </w:tblCellMar>
        </w:tblPrEx>
        <w:trPr>
          <w:trHeight w:val="329" w:hRule="atLeast"/>
          <w:jc w:val="center"/>
        </w:trPr>
        <w:tc>
          <w:tcPr>
            <w:tcW w:w="664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计算项目</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指标要求</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计算</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分值</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最低</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分值</w:t>
            </w:r>
          </w:p>
        </w:tc>
      </w:tr>
      <w:tr>
        <w:tblPrEx>
          <w:tblCellMar>
            <w:top w:w="0" w:type="dxa"/>
            <w:left w:w="108" w:type="dxa"/>
            <w:bottom w:w="0" w:type="dxa"/>
            <w:right w:w="108" w:type="dxa"/>
          </w:tblCellMar>
        </w:tblPrEx>
        <w:trPr>
          <w:trHeight w:val="329" w:hRule="atLeast"/>
          <w:jc w:val="center"/>
        </w:trPr>
        <w:tc>
          <w:tcPr>
            <w:tcW w:w="22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标准化设计</w:t>
            </w:r>
            <w:r>
              <w:rPr>
                <w:rFonts w:eastAsia="方正仿宋_GBK"/>
                <w:i/>
                <w:iCs/>
                <w:kern w:val="0"/>
                <w:sz w:val="24"/>
                <w:szCs w:val="24"/>
                <w:lang w:bidi="ar"/>
              </w:rPr>
              <w:t>Q</w:t>
            </w:r>
            <w:r>
              <w:rPr>
                <w:rFonts w:eastAsia="方正仿宋_GBK"/>
                <w:kern w:val="0"/>
                <w:sz w:val="24"/>
                <w:szCs w:val="24"/>
                <w:vertAlign w:val="subscript"/>
                <w:lang w:bidi="ar"/>
              </w:rPr>
              <w:t>1</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6</w:t>
            </w:r>
            <w:r>
              <w:rPr>
                <w:rFonts w:hint="eastAsia" w:eastAsia="方正仿宋_GBK"/>
                <w:kern w:val="0"/>
                <w:sz w:val="24"/>
                <w:szCs w:val="24"/>
                <w:lang w:bidi="ar"/>
              </w:rPr>
              <w:t>分）</w:t>
            </w: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柱网和层高符合</w:t>
            </w:r>
            <w:r>
              <w:rPr>
                <w:rFonts w:eastAsia="方正仿宋_GBK"/>
                <w:kern w:val="0"/>
                <w:sz w:val="24"/>
                <w:szCs w:val="24"/>
                <w:lang w:bidi="ar"/>
              </w:rPr>
              <w:t>3M</w:t>
            </w:r>
            <w:r>
              <w:rPr>
                <w:rFonts w:hint="eastAsia" w:eastAsia="方正仿宋_GBK"/>
                <w:kern w:val="0"/>
                <w:sz w:val="24"/>
                <w:szCs w:val="24"/>
                <w:lang w:bidi="ar"/>
              </w:rPr>
              <w:t>模数</w:t>
            </w:r>
            <w:r>
              <w:rPr>
                <w:rFonts w:eastAsia="方正仿宋_GBK"/>
                <w:i/>
                <w:iCs/>
                <w:kern w:val="0"/>
                <w:sz w:val="24"/>
                <w:szCs w:val="24"/>
                <w:lang w:bidi="ar"/>
              </w:rPr>
              <w:t>q</w:t>
            </w:r>
            <w:r>
              <w:rPr>
                <w:rFonts w:eastAsia="方正仿宋_GBK"/>
                <w:kern w:val="0"/>
                <w:sz w:val="24"/>
                <w:szCs w:val="24"/>
                <w:vertAlign w:val="subscript"/>
                <w:lang w:bidi="ar"/>
              </w:rPr>
              <w:t>1b</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4</w:t>
            </w:r>
          </w:p>
        </w:tc>
      </w:tr>
      <w:tr>
        <w:tblPrEx>
          <w:tblCellMar>
            <w:top w:w="0" w:type="dxa"/>
            <w:left w:w="108" w:type="dxa"/>
            <w:bottom w:w="0" w:type="dxa"/>
            <w:right w:w="108" w:type="dxa"/>
          </w:tblCellMar>
        </w:tblPrEx>
        <w:trPr>
          <w:trHeight w:val="329" w:hRule="atLeast"/>
          <w:jc w:val="center"/>
        </w:trPr>
        <w:tc>
          <w:tcPr>
            <w:tcW w:w="2263" w:type="dxa"/>
            <w:gridSpan w:val="2"/>
            <w:vMerge w:val="continue"/>
            <w:tcBorders>
              <w:left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标准化预制构件</w:t>
            </w:r>
            <w:r>
              <w:rPr>
                <w:rFonts w:eastAsia="方正仿宋_GBK"/>
                <w:i/>
                <w:iCs/>
                <w:kern w:val="0"/>
                <w:sz w:val="24"/>
                <w:szCs w:val="24"/>
                <w:lang w:bidi="ar"/>
              </w:rPr>
              <w:t>q</w:t>
            </w:r>
            <w:r>
              <w:rPr>
                <w:rFonts w:eastAsia="方正仿宋_GBK"/>
                <w:kern w:val="0"/>
                <w:sz w:val="24"/>
                <w:szCs w:val="24"/>
                <w:vertAlign w:val="subscript"/>
                <w:lang w:bidi="ar"/>
              </w:rPr>
              <w:t>1c</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SJQY"/>
                <w:kern w:val="0"/>
                <w:sz w:val="22"/>
                <w:szCs w:val="22"/>
                <w:lang w:bidi="ar"/>
              </w:rPr>
            </w:pPr>
            <w:r>
              <w:rPr>
                <w:rFonts w:hint="eastAsia" w:eastAsia="SJQY"/>
                <w:kern w:val="0"/>
                <w:sz w:val="22"/>
                <w:szCs w:val="22"/>
                <w:lang w:bidi="ar"/>
              </w:rPr>
              <w:t>≥</w:t>
            </w:r>
            <w:r>
              <w:rPr>
                <w:rFonts w:eastAsia="楷体_GB2312"/>
                <w:kern w:val="0"/>
                <w:sz w:val="22"/>
                <w:szCs w:val="22"/>
                <w:lang w:bidi="ar"/>
              </w:rPr>
              <w:t>70%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698"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22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通用规格预制</w:t>
            </w:r>
            <w:r>
              <w:rPr>
                <w:rFonts w:hint="eastAsia" w:eastAsia="方正仿宋_GBK"/>
                <w:kern w:val="0"/>
                <w:sz w:val="24"/>
                <w:szCs w:val="24"/>
                <w:lang w:val="en-US" w:eastAsia="zh-CN" w:bidi="ar"/>
              </w:rPr>
              <w:t>混凝土</w:t>
            </w:r>
            <w:r>
              <w:rPr>
                <w:rFonts w:hint="eastAsia" w:eastAsia="方正仿宋_GBK"/>
                <w:kern w:val="0"/>
                <w:sz w:val="24"/>
                <w:szCs w:val="24"/>
                <w:lang w:bidi="ar"/>
              </w:rPr>
              <w:t>构件</w:t>
            </w:r>
            <w:r>
              <w:rPr>
                <w:rFonts w:eastAsia="方正仿宋_GBK"/>
                <w:i/>
                <w:iCs/>
                <w:kern w:val="0"/>
                <w:sz w:val="24"/>
                <w:szCs w:val="24"/>
                <w:lang w:bidi="ar"/>
              </w:rPr>
              <w:t>q</w:t>
            </w:r>
            <w:r>
              <w:rPr>
                <w:rFonts w:eastAsia="方正仿宋_GBK"/>
                <w:kern w:val="0"/>
                <w:sz w:val="24"/>
                <w:szCs w:val="24"/>
                <w:vertAlign w:val="subscript"/>
                <w:lang w:bidi="ar"/>
              </w:rPr>
              <w:t>1d</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hint="eastAsia" w:eastAsia="SJQY"/>
                <w:kern w:val="0"/>
                <w:sz w:val="22"/>
                <w:szCs w:val="22"/>
                <w:lang w:bidi="ar"/>
              </w:rPr>
              <w:t>≥</w:t>
            </w:r>
            <w:r>
              <w:rPr>
                <w:rFonts w:eastAsia="楷体_GB2312"/>
                <w:kern w:val="0"/>
                <w:sz w:val="22"/>
                <w:szCs w:val="22"/>
                <w:lang w:bidi="ar"/>
              </w:rPr>
              <w:t>70%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主体</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结构</w:t>
            </w:r>
          </w:p>
          <w:p>
            <w:pPr>
              <w:widowControl/>
              <w:spacing w:line="400" w:lineRule="exact"/>
              <w:jc w:val="center"/>
              <w:textAlignment w:val="center"/>
              <w:rPr>
                <w:rFonts w:eastAsia="方正仿宋_GBK"/>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2</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58</w:t>
            </w:r>
            <w:r>
              <w:rPr>
                <w:rFonts w:hint="eastAsia" w:eastAsia="方正仿宋_GBK"/>
                <w:kern w:val="0"/>
                <w:sz w:val="24"/>
                <w:szCs w:val="24"/>
                <w:lang w:bidi="ar"/>
              </w:rPr>
              <w:t>分）</w:t>
            </w:r>
          </w:p>
        </w:tc>
        <w:tc>
          <w:tcPr>
            <w:tcW w:w="10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预制</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构件</w:t>
            </w: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竖向预制构件</w:t>
            </w:r>
            <w:r>
              <w:rPr>
                <w:rFonts w:eastAsia="方正仿宋_GBK"/>
                <w:i/>
                <w:iCs/>
                <w:kern w:val="0"/>
                <w:sz w:val="24"/>
                <w:szCs w:val="24"/>
                <w:lang w:bidi="ar"/>
              </w:rPr>
              <w:t>q</w:t>
            </w:r>
            <w:r>
              <w:rPr>
                <w:rFonts w:eastAsia="方正仿宋_GBK"/>
                <w:kern w:val="0"/>
                <w:sz w:val="24"/>
                <w:szCs w:val="24"/>
                <w:vertAlign w:val="subscript"/>
                <w:lang w:bidi="ar"/>
              </w:rPr>
              <w:t>2a</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50%-80%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8-12</w:t>
            </w:r>
          </w:p>
        </w:tc>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25</w:t>
            </w:r>
          </w:p>
        </w:tc>
      </w:tr>
      <w:tr>
        <w:tblPrEx>
          <w:tblCellMar>
            <w:top w:w="0" w:type="dxa"/>
            <w:left w:w="108" w:type="dxa"/>
            <w:bottom w:w="0" w:type="dxa"/>
            <w:right w:w="108" w:type="dxa"/>
          </w:tblCellMar>
        </w:tblPrEx>
        <w:trPr>
          <w:trHeight w:val="329"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梁类预制构件</w:t>
            </w:r>
            <w:r>
              <w:rPr>
                <w:rFonts w:eastAsia="方正仿宋_GBK"/>
                <w:i/>
                <w:iCs/>
                <w:kern w:val="0"/>
                <w:sz w:val="24"/>
                <w:szCs w:val="24"/>
                <w:lang w:bidi="ar"/>
              </w:rPr>
              <w:t>q</w:t>
            </w:r>
            <w:r>
              <w:rPr>
                <w:rFonts w:eastAsia="方正仿宋_GBK"/>
                <w:kern w:val="0"/>
                <w:sz w:val="24"/>
                <w:szCs w:val="24"/>
                <w:vertAlign w:val="subscript"/>
                <w:lang w:bidi="ar"/>
              </w:rPr>
              <w:t>2b</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50%-80%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15-24</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板类预制构件</w:t>
            </w:r>
            <w:r>
              <w:rPr>
                <w:rFonts w:eastAsia="方正仿宋_GBK"/>
                <w:i/>
                <w:iCs/>
                <w:kern w:val="0"/>
                <w:sz w:val="24"/>
                <w:szCs w:val="24"/>
                <w:lang w:bidi="ar"/>
              </w:rPr>
              <w:t>q</w:t>
            </w:r>
            <w:r>
              <w:rPr>
                <w:rFonts w:eastAsia="方正仿宋_GBK"/>
                <w:kern w:val="0"/>
                <w:sz w:val="24"/>
                <w:szCs w:val="24"/>
                <w:vertAlign w:val="subscript"/>
                <w:lang w:bidi="ar"/>
              </w:rPr>
              <w:t>2c</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70%-90%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宋体"/>
                <w:kern w:val="0"/>
                <w:sz w:val="22"/>
                <w:szCs w:val="22"/>
                <w:lang w:bidi="ar"/>
              </w:rPr>
              <w:t>10-14</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restart"/>
            <w:tcBorders>
              <w:top w:val="single" w:color="auto" w:sz="4" w:space="0"/>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支撑</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系统</w:t>
            </w:r>
          </w:p>
        </w:tc>
        <w:tc>
          <w:tcPr>
            <w:tcW w:w="1096" w:type="dxa"/>
            <w:vMerge w:val="restart"/>
            <w:tcBorders>
              <w:left w:val="single" w:color="auto" w:sz="4" w:space="0"/>
              <w:right w:val="single" w:color="auto" w:sz="4" w:space="0"/>
            </w:tcBorders>
            <w:vAlign w:val="center"/>
          </w:tcPr>
          <w:p>
            <w:pPr>
              <w:widowControl/>
              <w:spacing w:line="400" w:lineRule="exact"/>
              <w:jc w:val="center"/>
              <w:textAlignment w:val="center"/>
              <w:rPr>
                <w:rFonts w:eastAsia="方正仿宋_GBK"/>
                <w:i/>
                <w:iCs/>
                <w:kern w:val="0"/>
                <w:sz w:val="24"/>
                <w:szCs w:val="24"/>
                <w:vertAlign w:val="subscript"/>
                <w:lang w:bidi="ar"/>
              </w:rPr>
            </w:pPr>
            <w:r>
              <w:rPr>
                <w:rFonts w:eastAsia="方正仿宋_GBK"/>
                <w:i/>
                <w:iCs/>
                <w:kern w:val="0"/>
                <w:sz w:val="24"/>
                <w:szCs w:val="24"/>
                <w:lang w:bidi="ar"/>
              </w:rPr>
              <w:t>q</w:t>
            </w:r>
            <w:r>
              <w:rPr>
                <w:rFonts w:eastAsia="方正仿宋_GBK"/>
                <w:kern w:val="0"/>
                <w:sz w:val="24"/>
                <w:szCs w:val="24"/>
                <w:vertAlign w:val="subscript"/>
                <w:lang w:bidi="ar"/>
              </w:rPr>
              <w:t>2d</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四选一</w:t>
            </w:r>
          </w:p>
        </w:tc>
        <w:tc>
          <w:tcPr>
            <w:tcW w:w="32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竖向支撑间距不小于</w:t>
            </w:r>
            <w:r>
              <w:rPr>
                <w:rFonts w:eastAsia="方正仿宋_GBK"/>
                <w:kern w:val="0"/>
                <w:sz w:val="24"/>
                <w:szCs w:val="24"/>
                <w:lang w:bidi="ar"/>
              </w:rPr>
              <w:t>2m</w:t>
            </w:r>
          </w:p>
        </w:tc>
        <w:tc>
          <w:tcPr>
            <w:tcW w:w="126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4</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1096"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预制梁跨中免支撑</w:t>
            </w:r>
          </w:p>
        </w:tc>
        <w:tc>
          <w:tcPr>
            <w:tcW w:w="126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1096" w:type="dxa"/>
            <w:vMerge w:val="continue"/>
            <w:tcBorders>
              <w:left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预制板跨中免支撑</w:t>
            </w:r>
          </w:p>
        </w:tc>
        <w:tc>
          <w:tcPr>
            <w:tcW w:w="126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96" w:type="dxa"/>
            <w:vMerge w:val="continue"/>
            <w:tcBorders>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83" w:type="dxa"/>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预制楼盖免支撑</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8</w:t>
            </w:r>
          </w:p>
        </w:tc>
        <w:tc>
          <w:tcPr>
            <w:tcW w:w="698"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围护墙和内隔墙</w:t>
            </w:r>
          </w:p>
          <w:p>
            <w:pPr>
              <w:widowControl/>
              <w:spacing w:line="400" w:lineRule="exact"/>
              <w:jc w:val="center"/>
              <w:textAlignment w:val="center"/>
              <w:rPr>
                <w:rFonts w:eastAsia="方正仿宋_GBK"/>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3</w:t>
            </w:r>
          </w:p>
          <w:p>
            <w:pPr>
              <w:widowControl/>
              <w:spacing w:line="400" w:lineRule="exact"/>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18</w:t>
            </w:r>
            <w:r>
              <w:rPr>
                <w:rFonts w:hint="eastAsia" w:eastAsia="方正仿宋_GBK"/>
                <w:kern w:val="0"/>
                <w:sz w:val="24"/>
                <w:szCs w:val="24"/>
                <w:lang w:bidi="ar"/>
              </w:rPr>
              <w:t>分）</w:t>
            </w:r>
          </w:p>
        </w:tc>
        <w:tc>
          <w:tcPr>
            <w:tcW w:w="10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pPr>
            <w:r>
              <w:rPr>
                <w:rFonts w:hint="eastAsia" w:eastAsia="方正仿宋_GBK"/>
                <w:kern w:val="0"/>
                <w:sz w:val="24"/>
                <w:szCs w:val="24"/>
                <w:lang w:bidi="ar"/>
              </w:rPr>
              <w:t>围护墙</w:t>
            </w: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装配式非承重围护墙</w:t>
            </w:r>
            <w:r>
              <w:rPr>
                <w:rFonts w:eastAsia="方正仿宋_GBK"/>
                <w:i/>
                <w:iCs/>
                <w:kern w:val="0"/>
                <w:sz w:val="24"/>
                <w:szCs w:val="24"/>
                <w:lang w:bidi="ar"/>
              </w:rPr>
              <w:t>q</w:t>
            </w:r>
            <w:r>
              <w:rPr>
                <w:rFonts w:eastAsia="方正仿宋_GBK"/>
                <w:kern w:val="0"/>
                <w:sz w:val="24"/>
                <w:szCs w:val="24"/>
                <w:vertAlign w:val="subscript"/>
                <w:lang w:bidi="ar"/>
              </w:rPr>
              <w:t>3a</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50%-80%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5-8</w:t>
            </w:r>
          </w:p>
        </w:tc>
        <w:tc>
          <w:tcPr>
            <w:tcW w:w="698" w:type="dxa"/>
            <w:vMerge w:val="restart"/>
            <w:tcBorders>
              <w:top w:val="single" w:color="auto" w:sz="4" w:space="0"/>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10</w:t>
            </w:r>
          </w:p>
        </w:tc>
      </w:tr>
      <w:tr>
        <w:tblPrEx>
          <w:tblCellMar>
            <w:top w:w="0" w:type="dxa"/>
            <w:left w:w="108" w:type="dxa"/>
            <w:bottom w:w="0" w:type="dxa"/>
            <w:right w:w="108" w:type="dxa"/>
          </w:tblCellMar>
        </w:tblPrEx>
        <w:trPr>
          <w:trHeight w:val="329"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装配式围护墙与保温一体化</w:t>
            </w:r>
            <w:r>
              <w:rPr>
                <w:rFonts w:eastAsia="方正仿宋_GBK"/>
                <w:i/>
                <w:iCs/>
                <w:kern w:val="0"/>
                <w:sz w:val="24"/>
                <w:szCs w:val="24"/>
                <w:lang w:bidi="ar"/>
              </w:rPr>
              <w:t>q</w:t>
            </w:r>
            <w:r>
              <w:rPr>
                <w:rFonts w:eastAsia="方正仿宋_GBK"/>
                <w:kern w:val="0"/>
                <w:sz w:val="24"/>
                <w:szCs w:val="24"/>
                <w:vertAlign w:val="subscript"/>
                <w:lang w:bidi="ar"/>
              </w:rPr>
              <w:t>3b</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装配式围护墙与装饰一体化</w:t>
            </w:r>
            <w:r>
              <w:rPr>
                <w:rFonts w:eastAsia="方正仿宋_GBK"/>
                <w:i/>
                <w:iCs/>
                <w:kern w:val="0"/>
                <w:sz w:val="24"/>
                <w:szCs w:val="24"/>
                <w:lang w:bidi="ar"/>
              </w:rPr>
              <w:t>q</w:t>
            </w:r>
            <w:r>
              <w:rPr>
                <w:rFonts w:eastAsia="方正仿宋_GBK"/>
                <w:kern w:val="0"/>
                <w:sz w:val="24"/>
                <w:szCs w:val="24"/>
                <w:vertAlign w:val="subscript"/>
                <w:lang w:bidi="ar"/>
              </w:rPr>
              <w:t>3c</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内隔墙</w:t>
            </w: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装配式非承重内隔墙</w:t>
            </w:r>
            <w:r>
              <w:rPr>
                <w:rFonts w:eastAsia="方正仿宋_GBK"/>
                <w:i/>
                <w:iCs/>
                <w:kern w:val="0"/>
                <w:sz w:val="24"/>
                <w:szCs w:val="24"/>
                <w:lang w:bidi="ar"/>
              </w:rPr>
              <w:t>q</w:t>
            </w:r>
            <w:r>
              <w:rPr>
                <w:rFonts w:eastAsia="方正仿宋_GBK"/>
                <w:kern w:val="0"/>
                <w:sz w:val="24"/>
                <w:szCs w:val="24"/>
                <w:vertAlign w:val="subscript"/>
                <w:lang w:bidi="ar"/>
              </w:rPr>
              <w:t>3d</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hint="eastAsia" w:eastAsia="SJQY"/>
                <w:kern w:val="0"/>
                <w:sz w:val="22"/>
                <w:szCs w:val="22"/>
                <w:lang w:bidi="ar"/>
              </w:rPr>
              <w:t>≥</w:t>
            </w:r>
            <w:r>
              <w:rPr>
                <w:rFonts w:eastAsia="楷体_GB2312"/>
                <w:kern w:val="0"/>
                <w:sz w:val="22"/>
                <w:szCs w:val="22"/>
                <w:lang w:bidi="ar"/>
              </w:rPr>
              <w:t>80%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6</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restart"/>
            <w:tcBorders>
              <w:top w:val="single" w:color="000000" w:sz="4" w:space="0"/>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装修和</w:t>
            </w:r>
            <w:r>
              <w:rPr>
                <w:rFonts w:eastAsia="方正仿宋_GBK"/>
                <w:kern w:val="0"/>
                <w:sz w:val="24"/>
                <w:szCs w:val="24"/>
                <w:lang w:bidi="ar"/>
              </w:rPr>
              <w:br w:type="textWrapping"/>
            </w:r>
            <w:r>
              <w:rPr>
                <w:rFonts w:hint="eastAsia" w:eastAsia="方正仿宋_GBK"/>
                <w:kern w:val="0"/>
                <w:sz w:val="24"/>
                <w:szCs w:val="24"/>
                <w:lang w:bidi="ar"/>
              </w:rPr>
              <w:t>设备管线（非生产区域）</w:t>
            </w:r>
          </w:p>
          <w:p>
            <w:pPr>
              <w:widowControl/>
              <w:spacing w:line="400" w:lineRule="exact"/>
              <w:jc w:val="center"/>
              <w:textAlignment w:val="center"/>
              <w:rPr>
                <w:rFonts w:eastAsia="方正仿宋_GBK"/>
                <w:kern w:val="0"/>
                <w:sz w:val="24"/>
                <w:szCs w:val="24"/>
                <w:lang w:bidi="ar"/>
              </w:rPr>
            </w:pPr>
            <w:r>
              <w:rPr>
                <w:rFonts w:eastAsia="方正仿宋_GBK"/>
                <w:i/>
                <w:iCs/>
                <w:kern w:val="0"/>
                <w:sz w:val="24"/>
                <w:szCs w:val="24"/>
                <w:lang w:bidi="ar"/>
              </w:rPr>
              <w:t>Q</w:t>
            </w:r>
            <w:r>
              <w:rPr>
                <w:rFonts w:eastAsia="方正仿宋_GBK"/>
                <w:kern w:val="0"/>
                <w:sz w:val="24"/>
                <w:szCs w:val="24"/>
                <w:vertAlign w:val="subscript"/>
                <w:lang w:bidi="ar"/>
              </w:rPr>
              <w:t>4</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18</w:t>
            </w:r>
            <w:r>
              <w:rPr>
                <w:rFonts w:hint="eastAsia" w:eastAsia="方正仿宋_GBK"/>
                <w:kern w:val="0"/>
                <w:sz w:val="24"/>
                <w:szCs w:val="24"/>
                <w:lang w:bidi="ar"/>
              </w:rPr>
              <w:t>分）</w:t>
            </w:r>
          </w:p>
        </w:tc>
        <w:tc>
          <w:tcPr>
            <w:tcW w:w="1016" w:type="dxa"/>
            <w:vMerge w:val="restart"/>
            <w:tcBorders>
              <w:top w:val="single" w:color="000000" w:sz="4" w:space="0"/>
              <w:left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装修</w:t>
            </w:r>
          </w:p>
        </w:tc>
        <w:tc>
          <w:tcPr>
            <w:tcW w:w="1096" w:type="dxa"/>
            <w:vMerge w:val="restart"/>
            <w:tcBorders>
              <w:top w:val="single" w:color="000000" w:sz="4" w:space="0"/>
              <w:left w:val="single" w:color="000000" w:sz="4" w:space="0"/>
              <w:right w:val="single" w:color="auto" w:sz="4" w:space="0"/>
            </w:tcBorders>
            <w:vAlign w:val="center"/>
          </w:tcPr>
          <w:p>
            <w:pPr>
              <w:widowControl/>
              <w:spacing w:line="400" w:lineRule="exact"/>
              <w:jc w:val="center"/>
              <w:textAlignment w:val="center"/>
              <w:rPr>
                <w:rFonts w:eastAsia="方正仿宋_GBK"/>
                <w:i/>
                <w:iCs/>
                <w:kern w:val="0"/>
                <w:sz w:val="24"/>
                <w:szCs w:val="24"/>
                <w:vertAlign w:val="subscript"/>
                <w:lang w:bidi="ar"/>
              </w:rPr>
            </w:pPr>
            <w:r>
              <w:rPr>
                <w:rFonts w:eastAsia="方正仿宋_GBK"/>
                <w:i/>
                <w:iCs/>
                <w:kern w:val="0"/>
                <w:sz w:val="24"/>
                <w:szCs w:val="24"/>
                <w:lang w:bidi="ar"/>
              </w:rPr>
              <w:t>q</w:t>
            </w:r>
            <w:r>
              <w:rPr>
                <w:rFonts w:eastAsia="方正仿宋_GBK"/>
                <w:kern w:val="0"/>
                <w:sz w:val="24"/>
                <w:szCs w:val="24"/>
                <w:vertAlign w:val="subscript"/>
                <w:lang w:bidi="ar"/>
              </w:rPr>
              <w:t>4a</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二选一</w:t>
            </w:r>
          </w:p>
        </w:tc>
        <w:tc>
          <w:tcPr>
            <w:tcW w:w="3283"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全装修</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（含公区工业化装修）</w:t>
            </w:r>
            <w:r>
              <w:rPr>
                <w:rFonts w:eastAsia="方正仿宋_GBK"/>
                <w:kern w:val="0"/>
                <w:sz w:val="24"/>
                <w:szCs w:val="24"/>
                <w:lang w:bidi="ar"/>
              </w:rPr>
              <w:t xml:space="preserve"> </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w:t>
            </w:r>
          </w:p>
        </w:tc>
        <w:tc>
          <w:tcPr>
            <w:tcW w:w="698"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r>
      <w:tr>
        <w:tblPrEx>
          <w:tblCellMar>
            <w:top w:w="0" w:type="dxa"/>
            <w:left w:w="108" w:type="dxa"/>
            <w:bottom w:w="0" w:type="dxa"/>
            <w:right w:w="108" w:type="dxa"/>
          </w:tblCellMar>
        </w:tblPrEx>
        <w:trPr>
          <w:trHeight w:val="90" w:hRule="atLeast"/>
          <w:jc w:val="center"/>
        </w:trPr>
        <w:tc>
          <w:tcPr>
            <w:tcW w:w="1247"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left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1096" w:type="dxa"/>
            <w:vMerge w:val="continue"/>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3283"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确定使用功能的区域装修</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（含公区工业化装修）</w:t>
            </w:r>
          </w:p>
        </w:tc>
        <w:tc>
          <w:tcPr>
            <w:tcW w:w="1264"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w:t>
            </w:r>
          </w:p>
        </w:tc>
        <w:tc>
          <w:tcPr>
            <w:tcW w:w="698" w:type="dxa"/>
            <w:vMerge w:val="continue"/>
            <w:tcBorders>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rPr>
          <w:trHeight w:val="329" w:hRule="atLeast"/>
          <w:jc w:val="center"/>
        </w:trPr>
        <w:tc>
          <w:tcPr>
            <w:tcW w:w="1247"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left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装配式吊顶</w:t>
            </w:r>
            <w:r>
              <w:rPr>
                <w:rFonts w:eastAsia="方正仿宋_GBK"/>
                <w:i/>
                <w:iCs/>
                <w:kern w:val="0"/>
                <w:sz w:val="24"/>
                <w:szCs w:val="24"/>
                <w:lang w:bidi="ar"/>
              </w:rPr>
              <w:t>q</w:t>
            </w:r>
            <w:r>
              <w:rPr>
                <w:rFonts w:eastAsia="方正仿宋_GBK"/>
                <w:kern w:val="0"/>
                <w:sz w:val="24"/>
                <w:szCs w:val="24"/>
                <w:vertAlign w:val="subscript"/>
                <w:lang w:bidi="ar"/>
              </w:rPr>
              <w:t>4d</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70%-90%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3-4.5</w:t>
            </w:r>
          </w:p>
        </w:tc>
        <w:tc>
          <w:tcPr>
            <w:tcW w:w="698"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r>
      <w:tr>
        <w:tblPrEx>
          <w:tblCellMar>
            <w:top w:w="0" w:type="dxa"/>
            <w:left w:w="108" w:type="dxa"/>
            <w:bottom w:w="0" w:type="dxa"/>
            <w:right w:w="108" w:type="dxa"/>
          </w:tblCellMar>
        </w:tblPrEx>
        <w:trPr>
          <w:trHeight w:val="329" w:hRule="atLeast"/>
          <w:jc w:val="center"/>
        </w:trPr>
        <w:tc>
          <w:tcPr>
            <w:tcW w:w="1247" w:type="dxa"/>
            <w:vMerge w:val="continue"/>
            <w:tcBorders>
              <w:left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vMerge w:val="continue"/>
            <w:tcBorders>
              <w:left w:val="single" w:color="auto" w:sz="4" w:space="0"/>
              <w:bottom w:val="single" w:color="auto"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装配式墙面</w:t>
            </w:r>
            <w:r>
              <w:rPr>
                <w:rFonts w:eastAsia="方正仿宋_GBK"/>
                <w:i/>
                <w:iCs/>
                <w:kern w:val="0"/>
                <w:sz w:val="24"/>
                <w:szCs w:val="24"/>
                <w:lang w:bidi="ar"/>
              </w:rPr>
              <w:t>q</w:t>
            </w:r>
            <w:r>
              <w:rPr>
                <w:rFonts w:eastAsia="方正仿宋_GBK"/>
                <w:kern w:val="0"/>
                <w:sz w:val="24"/>
                <w:szCs w:val="24"/>
                <w:vertAlign w:val="subscript"/>
                <w:lang w:bidi="ar"/>
              </w:rPr>
              <w:t>4f</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70%-90%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3-4.5</w:t>
            </w:r>
          </w:p>
        </w:tc>
        <w:tc>
          <w:tcPr>
            <w:tcW w:w="698"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1247" w:type="dxa"/>
            <w:vMerge w:val="continue"/>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方正仿宋_GBK"/>
                <w:kern w:val="0"/>
                <w:sz w:val="24"/>
                <w:szCs w:val="24"/>
                <w:lang w:bidi="ar"/>
              </w:rPr>
            </w:pPr>
          </w:p>
        </w:tc>
        <w:tc>
          <w:tcPr>
            <w:tcW w:w="1016" w:type="dxa"/>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管线</w:t>
            </w: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管线分离</w:t>
            </w:r>
            <w:r>
              <w:rPr>
                <w:rFonts w:eastAsia="方正仿宋_GBK"/>
                <w:i/>
                <w:iCs/>
                <w:kern w:val="0"/>
                <w:sz w:val="24"/>
                <w:szCs w:val="24"/>
                <w:lang w:bidi="ar"/>
              </w:rPr>
              <w:t>q</w:t>
            </w:r>
            <w:r>
              <w:rPr>
                <w:rFonts w:eastAsia="方正仿宋_GBK"/>
                <w:kern w:val="0"/>
                <w:sz w:val="24"/>
                <w:szCs w:val="24"/>
                <w:vertAlign w:val="subscript"/>
                <w:lang w:bidi="ar"/>
              </w:rPr>
              <w:t>4g</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50%-70%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2-4</w:t>
            </w:r>
          </w:p>
        </w:tc>
        <w:tc>
          <w:tcPr>
            <w:tcW w:w="698" w:type="dxa"/>
            <w:vMerge w:val="continue"/>
            <w:tcBorders>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p>
        </w:tc>
      </w:tr>
      <w:tr>
        <w:tblPrEx>
          <w:tblCellMar>
            <w:top w:w="0" w:type="dxa"/>
            <w:left w:w="108" w:type="dxa"/>
            <w:bottom w:w="0" w:type="dxa"/>
            <w:right w:w="108" w:type="dxa"/>
          </w:tblCellMar>
        </w:tblPrEx>
        <w:trPr>
          <w:trHeight w:val="329" w:hRule="atLeast"/>
          <w:jc w:val="center"/>
        </w:trPr>
        <w:tc>
          <w:tcPr>
            <w:tcW w:w="22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智能建造</w:t>
            </w:r>
          </w:p>
          <w:p>
            <w:pPr>
              <w:widowControl/>
              <w:spacing w:line="400" w:lineRule="exact"/>
              <w:jc w:val="center"/>
              <w:textAlignment w:val="center"/>
              <w:rPr>
                <w:rFonts w:eastAsia="方正仿宋_GBK"/>
                <w:kern w:val="0"/>
                <w:sz w:val="24"/>
                <w:szCs w:val="24"/>
                <w:lang w:bidi="ar"/>
              </w:rPr>
            </w:pPr>
            <w:r>
              <w:rPr>
                <w:rFonts w:eastAsia="方正仿宋_GBK"/>
                <w:i/>
                <w:iCs/>
                <w:kern w:val="0"/>
                <w:sz w:val="24"/>
                <w:szCs w:val="24"/>
                <w:lang w:bidi="ar"/>
              </w:rPr>
              <w:t>Q</w:t>
            </w:r>
            <w:r>
              <w:rPr>
                <w:rFonts w:eastAsia="方正仿宋_GBK"/>
                <w:i/>
                <w:iCs/>
                <w:kern w:val="0"/>
                <w:sz w:val="24"/>
                <w:szCs w:val="24"/>
                <w:vertAlign w:val="subscript"/>
                <w:lang w:bidi="ar"/>
              </w:rPr>
              <w:t>5</w:t>
            </w:r>
          </w:p>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w:t>
            </w:r>
            <w:r>
              <w:rPr>
                <w:rFonts w:eastAsia="方正仿宋_GBK"/>
                <w:kern w:val="0"/>
                <w:sz w:val="24"/>
                <w:szCs w:val="24"/>
                <w:lang w:bidi="ar"/>
              </w:rPr>
              <w:t>6</w:t>
            </w:r>
            <w:r>
              <w:rPr>
                <w:rFonts w:hint="eastAsia" w:eastAsia="方正仿宋_GBK"/>
                <w:kern w:val="0"/>
                <w:sz w:val="24"/>
                <w:szCs w:val="24"/>
                <w:lang w:bidi="ar"/>
              </w:rPr>
              <w:t>分）</w:t>
            </w: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eastAsia="方正仿宋_GBK"/>
                <w:kern w:val="0"/>
                <w:sz w:val="24"/>
                <w:szCs w:val="24"/>
                <w:lang w:bidi="ar"/>
              </w:rPr>
              <w:t>BIM</w:t>
            </w:r>
            <w:r>
              <w:rPr>
                <w:rFonts w:hint="eastAsia" w:eastAsia="方正仿宋_GBK"/>
                <w:kern w:val="0"/>
                <w:sz w:val="24"/>
                <w:szCs w:val="24"/>
                <w:lang w:bidi="ar"/>
              </w:rPr>
              <w:t>技术应用</w:t>
            </w:r>
            <w:r>
              <w:rPr>
                <w:rFonts w:eastAsia="方正仿宋_GBK"/>
                <w:i/>
                <w:iCs/>
                <w:kern w:val="0"/>
                <w:sz w:val="24"/>
                <w:szCs w:val="24"/>
                <w:lang w:bidi="ar"/>
              </w:rPr>
              <w:t>q</w:t>
            </w:r>
            <w:r>
              <w:rPr>
                <w:rFonts w:eastAsia="方正仿宋_GBK"/>
                <w:kern w:val="0"/>
                <w:sz w:val="24"/>
                <w:szCs w:val="24"/>
                <w:vertAlign w:val="subscript"/>
                <w:lang w:bidi="ar"/>
              </w:rPr>
              <w:t>5a</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0.5-2</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r>
      <w:tr>
        <w:tblPrEx>
          <w:tblCellMar>
            <w:top w:w="0" w:type="dxa"/>
            <w:left w:w="108" w:type="dxa"/>
            <w:bottom w:w="0" w:type="dxa"/>
            <w:right w:w="108" w:type="dxa"/>
          </w:tblCellMar>
        </w:tblPrEx>
        <w:trPr>
          <w:trHeight w:val="329" w:hRule="atLeast"/>
          <w:jc w:val="center"/>
        </w:trPr>
        <w:tc>
          <w:tcPr>
            <w:tcW w:w="22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智能化装备应用</w:t>
            </w:r>
            <w:r>
              <w:rPr>
                <w:rFonts w:eastAsia="方正仿宋_GBK"/>
                <w:i/>
                <w:iCs/>
                <w:kern w:val="0"/>
                <w:sz w:val="24"/>
                <w:szCs w:val="24"/>
                <w:lang w:bidi="ar"/>
              </w:rPr>
              <w:t>q</w:t>
            </w:r>
            <w:r>
              <w:rPr>
                <w:rFonts w:eastAsia="方正仿宋_GBK"/>
                <w:kern w:val="0"/>
                <w:sz w:val="24"/>
                <w:szCs w:val="24"/>
                <w:vertAlign w:val="subscript"/>
                <w:lang w:bidi="ar"/>
              </w:rPr>
              <w:t>5b</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0.5-3</w:t>
            </w: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p>
        </w:tc>
      </w:tr>
      <w:tr>
        <w:trPr>
          <w:trHeight w:val="329" w:hRule="atLeast"/>
          <w:jc w:val="center"/>
        </w:trPr>
        <w:tc>
          <w:tcPr>
            <w:tcW w:w="22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p>
        </w:tc>
        <w:tc>
          <w:tcPr>
            <w:tcW w:w="437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szCs w:val="24"/>
                <w:lang w:bidi="ar"/>
              </w:rPr>
            </w:pPr>
            <w:r>
              <w:rPr>
                <w:rFonts w:hint="eastAsia" w:eastAsia="方正仿宋_GBK"/>
                <w:kern w:val="0"/>
                <w:sz w:val="24"/>
                <w:szCs w:val="24"/>
                <w:lang w:bidi="ar"/>
              </w:rPr>
              <w:t>数字化档案</w:t>
            </w:r>
            <w:r>
              <w:rPr>
                <w:rFonts w:eastAsia="方正仿宋_GBK"/>
                <w:kern w:val="0"/>
                <w:sz w:val="24"/>
                <w:szCs w:val="24"/>
                <w:lang w:bidi="ar"/>
              </w:rPr>
              <w:t xml:space="preserve"> </w:t>
            </w:r>
            <w:r>
              <w:rPr>
                <w:rFonts w:eastAsia="方正仿宋_GBK"/>
                <w:i/>
                <w:iCs/>
                <w:kern w:val="0"/>
                <w:sz w:val="24"/>
                <w:szCs w:val="24"/>
                <w:lang w:bidi="ar"/>
              </w:rPr>
              <w:t>q</w:t>
            </w:r>
            <w:r>
              <w:rPr>
                <w:rFonts w:eastAsia="方正仿宋_GBK"/>
                <w:kern w:val="0"/>
                <w:sz w:val="24"/>
                <w:szCs w:val="24"/>
                <w:vertAlign w:val="subscript"/>
                <w:lang w:bidi="ar"/>
              </w:rPr>
              <w:t>5c</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w:t>
            </w:r>
          </w:p>
        </w:tc>
        <w:tc>
          <w:tcPr>
            <w:tcW w:w="75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r>
              <w:rPr>
                <w:rFonts w:eastAsia="楷体_GB2312"/>
                <w:kern w:val="0"/>
                <w:sz w:val="22"/>
                <w:szCs w:val="22"/>
                <w:lang w:bidi="ar"/>
              </w:rPr>
              <w:t>1</w:t>
            </w: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楷体_GB2312"/>
                <w:kern w:val="0"/>
                <w:sz w:val="22"/>
                <w:szCs w:val="22"/>
                <w:lang w:bidi="ar"/>
              </w:rPr>
            </w:pPr>
          </w:p>
        </w:tc>
      </w:tr>
    </w:tbl>
    <w:p>
      <w:pPr>
        <w:pStyle w:val="2"/>
        <w:spacing w:after="0"/>
        <w:rPr>
          <w:rFonts w:eastAsia="宋体"/>
          <w:kern w:val="0"/>
          <w:sz w:val="24"/>
          <w:szCs w:val="24"/>
          <w:lang w:bidi="ar"/>
        </w:rPr>
        <w:sectPr>
          <w:pgSz w:w="11906" w:h="16838"/>
          <w:pgMar w:top="1417" w:right="1417" w:bottom="1417" w:left="1417" w:header="851" w:footer="992" w:gutter="0"/>
          <w:pgNumType w:fmt="numberInDash"/>
          <w:cols w:space="720" w:num="1"/>
          <w:docGrid w:type="lines" w:linePitch="312" w:charSpace="0"/>
        </w:sectPr>
      </w:pPr>
    </w:p>
    <w:p>
      <w:pPr>
        <w:pStyle w:val="3"/>
        <w:widowControl w:val="0"/>
        <w:numPr>
          <w:ilvl w:val="0"/>
          <w:numId w:val="1"/>
        </w:numPr>
        <w:adjustRightInd w:val="0"/>
        <w:snapToGrid w:val="0"/>
        <w:ind w:firstLine="640" w:firstLineChars="200"/>
        <w:jc w:val="both"/>
        <w:rPr>
          <w:rFonts w:ascii="Times New Roman" w:hAnsi="Times New Roman"/>
        </w:rPr>
      </w:pPr>
      <w:r>
        <w:rPr>
          <w:rFonts w:hint="eastAsia" w:ascii="Times New Roman" w:hAnsi="Times New Roman"/>
        </w:rPr>
        <w:t>计算规则</w:t>
      </w:r>
    </w:p>
    <w:p>
      <w:pPr>
        <w:numPr>
          <w:ilvl w:val="255"/>
          <w:numId w:val="0"/>
        </w:numPr>
        <w:adjustRightInd w:val="0"/>
        <w:snapToGrid w:val="0"/>
        <w:spacing w:line="500" w:lineRule="exact"/>
        <w:ind w:firstLine="640" w:firstLineChars="200"/>
        <w:rPr>
          <w:rFonts w:eastAsia="方正楷体_GBK"/>
        </w:rPr>
      </w:pPr>
      <w:r>
        <w:rPr>
          <w:rFonts w:hint="eastAsia" w:eastAsia="方正楷体_GBK"/>
          <w:lang w:bidi="ar"/>
        </w:rPr>
        <w:t>（一）标准化设计计算规定</w:t>
      </w:r>
    </w:p>
    <w:p>
      <w:pPr>
        <w:pStyle w:val="2"/>
        <w:spacing w:after="0" w:line="500" w:lineRule="exact"/>
        <w:ind w:firstLine="640" w:firstLineChars="200"/>
        <w:rPr>
          <w:rFonts w:eastAsia="方正仿宋_GBK"/>
        </w:rPr>
      </w:pPr>
      <w:r>
        <w:rPr>
          <w:rFonts w:eastAsia="方正仿宋_GBK"/>
        </w:rPr>
        <w:t>1</w:t>
      </w:r>
      <w:r>
        <w:rPr>
          <w:rFonts w:hint="eastAsia" w:eastAsia="方正仿宋_GBK"/>
        </w:rPr>
        <w:t>．功能房间和层高符合基本模数是指居住建筑主要功能房间轴线尺寸和建筑层高（不含顶层）均满足</w:t>
      </w:r>
      <w:r>
        <w:rPr>
          <w:rFonts w:eastAsia="方正仿宋_GBK"/>
        </w:rPr>
        <w:t>1M</w:t>
      </w:r>
      <w:r>
        <w:rPr>
          <w:rFonts w:hint="eastAsia" w:eastAsia="方正仿宋_GBK"/>
        </w:rPr>
        <w:t>模数的要求（</w:t>
      </w:r>
      <w:r>
        <w:rPr>
          <w:rFonts w:eastAsia="方正仿宋_GBK"/>
        </w:rPr>
        <w:t>M=100mm</w:t>
      </w:r>
      <w:r>
        <w:rPr>
          <w:rFonts w:hint="eastAsia" w:eastAsia="方正仿宋_GBK"/>
        </w:rPr>
        <w:t>）。主要功能房间包括卧室、起居室（厅）、书房、厨房和卫生间。</w:t>
      </w:r>
    </w:p>
    <w:p>
      <w:pPr>
        <w:spacing w:line="500" w:lineRule="exact"/>
        <w:ind w:firstLine="640" w:firstLineChars="200"/>
        <w:jc w:val="left"/>
        <w:rPr>
          <w:rFonts w:eastAsia="方正仿宋_GBK"/>
        </w:rPr>
      </w:pPr>
      <w:r>
        <w:rPr>
          <w:rFonts w:eastAsia="方正仿宋_GBK"/>
        </w:rPr>
        <w:t>2</w:t>
      </w:r>
      <w:r>
        <w:rPr>
          <w:rFonts w:hint="eastAsia" w:eastAsia="方正仿宋_GBK"/>
        </w:rPr>
        <w:t>．柱网和层高符合</w:t>
      </w:r>
      <w:r>
        <w:rPr>
          <w:rFonts w:eastAsia="方正仿宋_GBK"/>
        </w:rPr>
        <w:t>3M</w:t>
      </w:r>
      <w:r>
        <w:rPr>
          <w:rFonts w:hint="eastAsia" w:eastAsia="方正仿宋_GBK"/>
        </w:rPr>
        <w:t>模数是指公共建筑、工业建筑地上部分柱网和层高均满足</w:t>
      </w:r>
      <w:r>
        <w:rPr>
          <w:rFonts w:eastAsia="方正仿宋_GBK"/>
        </w:rPr>
        <w:t>3M</w:t>
      </w:r>
      <w:r>
        <w:rPr>
          <w:rFonts w:hint="eastAsia" w:eastAsia="方正仿宋_GBK"/>
        </w:rPr>
        <w:t>模数的要求（</w:t>
      </w:r>
      <w:r>
        <w:rPr>
          <w:rFonts w:eastAsia="方正仿宋_GBK"/>
        </w:rPr>
        <w:t>M=100mm</w:t>
      </w:r>
      <w:r>
        <w:rPr>
          <w:rFonts w:hint="eastAsia" w:eastAsia="方正仿宋_GBK"/>
        </w:rPr>
        <w:t>）。斜交柱网、弧线柱网等非正交柱网视为不符合模数的柱网。</w:t>
      </w:r>
    </w:p>
    <w:p>
      <w:pPr>
        <w:pStyle w:val="2"/>
        <w:spacing w:after="0" w:line="500" w:lineRule="exact"/>
        <w:ind w:firstLine="640" w:firstLineChars="200"/>
        <w:rPr>
          <w:rFonts w:eastAsia="方正仿宋_GBK"/>
        </w:rPr>
      </w:pPr>
      <w:r>
        <w:rPr>
          <w:rFonts w:eastAsia="方正仿宋_GBK"/>
        </w:rPr>
        <w:t>3</w:t>
      </w:r>
      <w:r>
        <w:rPr>
          <w:rFonts w:hint="eastAsia" w:eastAsia="方正仿宋_GBK"/>
        </w:rPr>
        <w:t>．标准化预制构件的应用比例按下式计算：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1c</w:t>
      </w:r>
      <w:r>
        <w:rPr>
          <w:rFonts w:eastAsia="方正仿宋_GBK"/>
        </w:rPr>
        <w:t>=</w:t>
      </w:r>
      <w:r>
        <w:rPr>
          <w:rFonts w:eastAsia="方正仿宋_GBK"/>
          <w:i/>
          <w:iCs/>
        </w:rPr>
        <w:t>N</w:t>
      </w:r>
      <w:r>
        <w:rPr>
          <w:rFonts w:eastAsia="方正仿宋_GBK"/>
          <w:vertAlign w:val="subscript"/>
        </w:rPr>
        <w:t>1c</w:t>
      </w:r>
      <w:r>
        <w:rPr>
          <w:rFonts w:eastAsia="方正仿宋_GBK"/>
        </w:rPr>
        <w:t>/</w:t>
      </w:r>
      <w:r>
        <w:rPr>
          <w:rFonts w:eastAsia="方正仿宋_GBK"/>
          <w:i/>
          <w:iCs/>
        </w:rPr>
        <w:t>N</w:t>
      </w:r>
      <w:r>
        <w:rPr>
          <w:rFonts w:eastAsia="方正仿宋_GBK"/>
          <w:vertAlign w:val="subscript"/>
        </w:rPr>
        <w:t>s</w:t>
      </w:r>
      <w:r>
        <w:rPr>
          <w:rFonts w:eastAsia="方正仿宋_GBK"/>
        </w:rPr>
        <w:t>×100%</w:t>
      </w:r>
      <w:r>
        <w:rPr>
          <w:rFonts w:eastAsia="方正仿宋_GBK"/>
        </w:rPr>
        <w:tab/>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1c</w:t>
      </w:r>
      <w:r>
        <w:rPr>
          <w:rFonts w:hint="eastAsia" w:eastAsia="方正仿宋_GBK"/>
        </w:rPr>
        <w:t>──标准化预制构件的应用比例；</w:t>
      </w:r>
    </w:p>
    <w:p>
      <w:pPr>
        <w:adjustRightInd w:val="0"/>
        <w:snapToGrid w:val="0"/>
        <w:spacing w:line="500" w:lineRule="exact"/>
        <w:ind w:firstLine="1600" w:firstLineChars="500"/>
        <w:rPr>
          <w:rFonts w:eastAsia="方正仿宋_GBK"/>
        </w:rPr>
      </w:pPr>
      <w:r>
        <w:rPr>
          <w:rFonts w:eastAsia="方正仿宋_GBK"/>
          <w:i/>
          <w:iCs/>
        </w:rPr>
        <w:t>N</w:t>
      </w:r>
      <w:r>
        <w:rPr>
          <w:rFonts w:eastAsia="方正仿宋_GBK"/>
          <w:vertAlign w:val="subscript"/>
        </w:rPr>
        <w:t>1c</w:t>
      </w:r>
      <w:r>
        <w:rPr>
          <w:rFonts w:hint="eastAsia" w:eastAsia="方正仿宋_GBK"/>
        </w:rPr>
        <w:t>──标准化预制构件数量之和；</w:t>
      </w:r>
    </w:p>
    <w:p>
      <w:pPr>
        <w:adjustRightInd w:val="0"/>
        <w:snapToGrid w:val="0"/>
        <w:spacing w:line="500" w:lineRule="exact"/>
        <w:ind w:firstLine="1600" w:firstLineChars="500"/>
        <w:rPr>
          <w:rFonts w:eastAsia="方正仿宋_GBK"/>
        </w:rPr>
      </w:pPr>
      <w:r>
        <w:rPr>
          <w:rFonts w:eastAsia="方正仿宋_GBK"/>
          <w:i/>
          <w:iCs/>
        </w:rPr>
        <w:t>N</w:t>
      </w:r>
      <w:r>
        <w:rPr>
          <w:rFonts w:eastAsia="方正仿宋_GBK"/>
          <w:vertAlign w:val="subscript"/>
        </w:rPr>
        <w:t>s</w:t>
      </w:r>
      <w:r>
        <w:rPr>
          <w:rFonts w:hint="eastAsia" w:eastAsia="方正仿宋_GBK"/>
        </w:rPr>
        <w:t>──各类预制构件的</w:t>
      </w:r>
      <w:r>
        <w:rPr>
          <w:rFonts w:hint="eastAsia" w:eastAsia="方正仿宋_GBK"/>
          <w:kern w:val="0"/>
          <w:sz w:val="31"/>
          <w:szCs w:val="31"/>
        </w:rPr>
        <w:t>总数量</w:t>
      </w:r>
      <w:r>
        <w:rPr>
          <w:rFonts w:hint="eastAsia" w:eastAsia="方正仿宋_GBK"/>
        </w:rPr>
        <w:t>。</w:t>
      </w:r>
    </w:p>
    <w:p>
      <w:pPr>
        <w:spacing w:line="500" w:lineRule="exact"/>
        <w:ind w:firstLine="640" w:firstLineChars="200"/>
        <w:jc w:val="left"/>
        <w:rPr>
          <w:rFonts w:eastAsia="方正仿宋_GBK"/>
        </w:rPr>
      </w:pPr>
      <w:r>
        <w:rPr>
          <w:rFonts w:hint="eastAsia" w:eastAsia="方正仿宋_GBK"/>
        </w:rPr>
        <w:t>标准化预制构件是指同一项目、同一批次实施的装配式建筑中，构件外轮廓尺寸相同（不考虑预留、预埋、孔洞及出筋）且数量不少于</w:t>
      </w:r>
      <w:r>
        <w:rPr>
          <w:rFonts w:eastAsia="方正仿宋_GBK"/>
        </w:rPr>
        <w:t>50</w:t>
      </w:r>
      <w:r>
        <w:rPr>
          <w:rFonts w:hint="eastAsia" w:eastAsia="方正仿宋_GBK"/>
        </w:rPr>
        <w:t>件的预制构件，计算对象包括主体结构</w:t>
      </w:r>
      <w:r>
        <w:rPr>
          <w:rFonts w:hint="eastAsia" w:eastAsia="方正仿宋_GBK"/>
          <w:lang w:val="en-US" w:eastAsia="zh-CN"/>
        </w:rPr>
        <w:t>预制构件</w:t>
      </w:r>
      <w:r>
        <w:rPr>
          <w:rFonts w:hint="eastAsia" w:eastAsia="方正仿宋_GBK"/>
        </w:rPr>
        <w:t>、围护结构预制</w:t>
      </w:r>
      <w:r>
        <w:rPr>
          <w:rFonts w:hint="eastAsia" w:eastAsia="方正仿宋_GBK"/>
          <w:lang w:val="en-US" w:eastAsia="zh-CN"/>
        </w:rPr>
        <w:t>混凝土</w:t>
      </w:r>
      <w:r>
        <w:rPr>
          <w:rFonts w:hint="eastAsia" w:eastAsia="方正仿宋_GBK"/>
        </w:rPr>
        <w:t>构件。通用规格预制</w:t>
      </w:r>
      <w:r>
        <w:rPr>
          <w:rFonts w:hint="eastAsia" w:eastAsia="方正仿宋_GBK"/>
          <w:lang w:val="en-US" w:eastAsia="zh-CN"/>
        </w:rPr>
        <w:t>混凝土</w:t>
      </w:r>
      <w:r>
        <w:rPr>
          <w:rFonts w:hint="eastAsia" w:eastAsia="方正仿宋_GBK"/>
        </w:rPr>
        <w:t>构件、钢构件、木构件等型材构件均认定为标准化预制构件。</w:t>
      </w:r>
    </w:p>
    <w:p>
      <w:pPr>
        <w:spacing w:line="500" w:lineRule="exact"/>
        <w:ind w:firstLine="640" w:firstLineChars="200"/>
        <w:jc w:val="left"/>
        <w:rPr>
          <w:rFonts w:eastAsia="方正仿宋_GBK"/>
        </w:rPr>
      </w:pPr>
      <w:r>
        <w:rPr>
          <w:rFonts w:eastAsia="方正仿宋_GBK"/>
        </w:rPr>
        <w:t>4</w:t>
      </w:r>
      <w:r>
        <w:rPr>
          <w:rFonts w:hint="eastAsia" w:eastAsia="方正仿宋_GBK"/>
        </w:rPr>
        <w:t>．通用规格预制</w:t>
      </w:r>
      <w:r>
        <w:rPr>
          <w:rFonts w:hint="eastAsia" w:eastAsia="方正仿宋_GBK"/>
          <w:lang w:val="en-US" w:eastAsia="zh-CN"/>
        </w:rPr>
        <w:t>混凝土</w:t>
      </w:r>
      <w:r>
        <w:rPr>
          <w:rFonts w:hint="eastAsia" w:eastAsia="方正仿宋_GBK"/>
        </w:rPr>
        <w:t>构件应用比例按下式计算：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1d</w:t>
      </w:r>
      <w:r>
        <w:rPr>
          <w:rFonts w:eastAsia="方正仿宋_GBK"/>
        </w:rPr>
        <w:t>=</w:t>
      </w:r>
      <w:r>
        <w:rPr>
          <w:rFonts w:eastAsia="方正仿宋_GBK"/>
          <w:i/>
          <w:iCs/>
        </w:rPr>
        <w:t>N</w:t>
      </w:r>
      <w:r>
        <w:rPr>
          <w:rFonts w:eastAsia="方正仿宋_GBK"/>
          <w:vertAlign w:val="subscript"/>
        </w:rPr>
        <w:t>1d</w:t>
      </w:r>
      <w:r>
        <w:rPr>
          <w:rFonts w:eastAsia="方正仿宋_GBK"/>
          <w:i/>
          <w:iCs/>
        </w:rPr>
        <w:t>/N</w:t>
      </w:r>
      <w:r>
        <w:rPr>
          <w:rFonts w:eastAsia="方正仿宋_GBK"/>
          <w:vertAlign w:val="subscript"/>
        </w:rPr>
        <w:t>s</w:t>
      </w:r>
      <w:r>
        <w:rPr>
          <w:rFonts w:eastAsia="方正仿宋_GBK"/>
        </w:rPr>
        <w:t>×100%</w:t>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1d</w:t>
      </w:r>
      <w:r>
        <w:rPr>
          <w:rFonts w:hint="eastAsia" w:eastAsia="方正仿宋_GBK"/>
        </w:rPr>
        <w:t>──通用规格预制</w:t>
      </w:r>
      <w:r>
        <w:rPr>
          <w:rFonts w:hint="eastAsia" w:eastAsia="方正仿宋_GBK"/>
          <w:lang w:val="en-US" w:eastAsia="zh-CN"/>
        </w:rPr>
        <w:t>混凝土</w:t>
      </w:r>
      <w:r>
        <w:rPr>
          <w:rFonts w:hint="eastAsia" w:eastAsia="方正仿宋_GBK"/>
        </w:rPr>
        <w:t>构件应用比例；</w:t>
      </w:r>
    </w:p>
    <w:p>
      <w:pPr>
        <w:adjustRightInd w:val="0"/>
        <w:snapToGrid w:val="0"/>
        <w:spacing w:line="500" w:lineRule="exact"/>
        <w:ind w:firstLine="1600" w:firstLineChars="500"/>
        <w:rPr>
          <w:rFonts w:eastAsia="方正仿宋_GBK"/>
        </w:rPr>
      </w:pPr>
      <w:r>
        <w:rPr>
          <w:rFonts w:eastAsia="方正仿宋_GBK"/>
          <w:i/>
          <w:iCs/>
        </w:rPr>
        <w:t>N</w:t>
      </w:r>
      <w:r>
        <w:rPr>
          <w:rFonts w:eastAsia="方正仿宋_GBK"/>
          <w:vertAlign w:val="subscript"/>
        </w:rPr>
        <w:t>1d</w:t>
      </w:r>
      <w:r>
        <w:rPr>
          <w:rFonts w:hint="eastAsia" w:eastAsia="方正仿宋_GBK"/>
        </w:rPr>
        <w:t>──通用规格预制</w:t>
      </w:r>
      <w:r>
        <w:rPr>
          <w:rFonts w:hint="eastAsia" w:eastAsia="方正仿宋_GBK"/>
          <w:lang w:val="en-US" w:eastAsia="zh-CN"/>
        </w:rPr>
        <w:t>混凝土</w:t>
      </w:r>
      <w:r>
        <w:rPr>
          <w:rFonts w:hint="eastAsia" w:eastAsia="方正仿宋_GBK"/>
        </w:rPr>
        <w:t>构件数量之和；</w:t>
      </w:r>
    </w:p>
    <w:p>
      <w:pPr>
        <w:adjustRightInd w:val="0"/>
        <w:snapToGrid w:val="0"/>
        <w:spacing w:line="500" w:lineRule="exact"/>
        <w:ind w:firstLine="1600" w:firstLineChars="500"/>
        <w:rPr>
          <w:rFonts w:eastAsia="方正仿宋_GBK"/>
        </w:rPr>
      </w:pPr>
      <w:r>
        <w:rPr>
          <w:rFonts w:eastAsia="方正仿宋_GBK"/>
          <w:i/>
          <w:iCs/>
        </w:rPr>
        <w:t>N</w:t>
      </w:r>
      <w:r>
        <w:rPr>
          <w:rFonts w:eastAsia="方正仿宋_GBK"/>
          <w:vertAlign w:val="subscript"/>
        </w:rPr>
        <w:t>s</w:t>
      </w:r>
      <w:r>
        <w:rPr>
          <w:rFonts w:hint="eastAsia" w:eastAsia="方正仿宋_GBK"/>
        </w:rPr>
        <w:t>──各类预制</w:t>
      </w:r>
      <w:r>
        <w:rPr>
          <w:rFonts w:hint="eastAsia" w:eastAsia="方正仿宋_GBK"/>
          <w:lang w:val="en-US" w:eastAsia="zh-CN"/>
        </w:rPr>
        <w:t>混凝土</w:t>
      </w:r>
      <w:r>
        <w:rPr>
          <w:rFonts w:hint="eastAsia" w:eastAsia="方正仿宋_GBK"/>
        </w:rPr>
        <w:t>构件的</w:t>
      </w:r>
      <w:r>
        <w:rPr>
          <w:rFonts w:hint="eastAsia" w:eastAsia="方正仿宋_GBK"/>
          <w:kern w:val="0"/>
          <w:sz w:val="31"/>
          <w:szCs w:val="31"/>
        </w:rPr>
        <w:t>总数量</w:t>
      </w:r>
      <w:r>
        <w:rPr>
          <w:rFonts w:hint="eastAsia" w:eastAsia="方正仿宋_GBK"/>
        </w:rPr>
        <w:t>。</w:t>
      </w:r>
    </w:p>
    <w:p>
      <w:pPr>
        <w:spacing w:line="500" w:lineRule="exact"/>
        <w:ind w:firstLine="640" w:firstLineChars="200"/>
        <w:jc w:val="left"/>
        <w:rPr>
          <w:rFonts w:eastAsia="方正仿宋_GBK"/>
        </w:rPr>
      </w:pPr>
      <w:r>
        <w:rPr>
          <w:rFonts w:hint="eastAsia" w:eastAsia="方正仿宋_GBK"/>
        </w:rPr>
        <w:t>通用规格预制</w:t>
      </w:r>
      <w:r>
        <w:rPr>
          <w:rFonts w:hint="eastAsia" w:eastAsia="方正仿宋_GBK"/>
          <w:lang w:val="en-US" w:eastAsia="zh-CN"/>
        </w:rPr>
        <w:t>混凝土</w:t>
      </w:r>
      <w:r>
        <w:rPr>
          <w:rFonts w:hint="eastAsia" w:eastAsia="方正仿宋_GBK"/>
        </w:rPr>
        <w:t>构件是指符合《重庆市装配式建筑标准化预制混凝土构件目录》规定规格尺寸的预制构件，以及无接缝预制</w:t>
      </w:r>
      <w:r>
        <w:rPr>
          <w:rFonts w:hint="eastAsia" w:eastAsia="方正仿宋_GBK"/>
          <w:lang w:val="en-US" w:eastAsia="zh-CN"/>
        </w:rPr>
        <w:t>混凝土</w:t>
      </w:r>
      <w:r>
        <w:rPr>
          <w:rFonts w:hint="eastAsia" w:eastAsia="方正仿宋_GBK"/>
        </w:rPr>
        <w:t>板和符合国家或地方图集规定规格尺寸的预制</w:t>
      </w:r>
      <w:r>
        <w:rPr>
          <w:rFonts w:hint="eastAsia" w:eastAsia="方正仿宋_GBK"/>
          <w:lang w:val="en-US" w:eastAsia="zh-CN"/>
        </w:rPr>
        <w:t>混凝土</w:t>
      </w:r>
      <w:r>
        <w:rPr>
          <w:rFonts w:hint="eastAsia" w:eastAsia="方正仿宋_GBK"/>
        </w:rPr>
        <w:t>构件。</w:t>
      </w:r>
    </w:p>
    <w:p>
      <w:pPr>
        <w:numPr>
          <w:ilvl w:val="255"/>
          <w:numId w:val="0"/>
        </w:numPr>
        <w:adjustRightInd w:val="0"/>
        <w:snapToGrid w:val="0"/>
        <w:spacing w:line="500" w:lineRule="exact"/>
        <w:ind w:firstLine="640" w:firstLineChars="200"/>
        <w:rPr>
          <w:rFonts w:eastAsia="方正楷体_GBK"/>
          <w:lang w:bidi="ar"/>
        </w:rPr>
      </w:pPr>
      <w:r>
        <w:rPr>
          <w:rFonts w:hint="eastAsia" w:eastAsia="方正楷体_GBK"/>
          <w:lang w:bidi="ar"/>
        </w:rPr>
        <w:t>（二）主体结构计算规定</w:t>
      </w:r>
    </w:p>
    <w:p>
      <w:pPr>
        <w:adjustRightInd w:val="0"/>
        <w:snapToGrid w:val="0"/>
        <w:spacing w:line="500" w:lineRule="exact"/>
        <w:ind w:firstLine="640" w:firstLineChars="200"/>
        <w:rPr>
          <w:rFonts w:eastAsia="方正仿宋_GBK"/>
        </w:rPr>
      </w:pPr>
      <w:r>
        <w:rPr>
          <w:rFonts w:eastAsia="方正仿宋_GBK"/>
        </w:rPr>
        <w:t>1</w:t>
      </w:r>
      <w:r>
        <w:rPr>
          <w:rFonts w:hint="eastAsia" w:eastAsia="方正仿宋_GBK"/>
        </w:rPr>
        <w:t>．竖向预制构件的应用比例按下式计算：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2a</w:t>
      </w:r>
      <w:r>
        <w:rPr>
          <w:rFonts w:eastAsia="方正仿宋_GBK"/>
          <w:i/>
          <w:iCs/>
        </w:rPr>
        <w:t>=V</w:t>
      </w:r>
      <w:r>
        <w:rPr>
          <w:rFonts w:eastAsia="方正仿宋_GBK"/>
          <w:vertAlign w:val="subscript"/>
        </w:rPr>
        <w:t>2a</w:t>
      </w:r>
      <w:r>
        <w:rPr>
          <w:rFonts w:eastAsia="方正仿宋_GBK"/>
          <w:i/>
          <w:iCs/>
        </w:rPr>
        <w:t>/V</w:t>
      </w:r>
      <w:r>
        <w:rPr>
          <w:rFonts w:eastAsia="方正仿宋_GBK"/>
          <w:vertAlign w:val="subscript"/>
        </w:rPr>
        <w:t>p</w:t>
      </w:r>
      <w:r>
        <w:rPr>
          <w:rFonts w:eastAsia="方正仿宋_GBK"/>
        </w:rPr>
        <w:t>×100%</w:t>
      </w:r>
      <w:r>
        <w:rPr>
          <w:rFonts w:eastAsia="方正仿宋_GBK"/>
        </w:rPr>
        <w:tab/>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2a</w:t>
      </w:r>
      <w:r>
        <w:rPr>
          <w:rFonts w:hint="eastAsia" w:eastAsia="方正仿宋_GBK"/>
        </w:rPr>
        <w:t>──主体结构竖向构件中预制构件的应用比例；</w:t>
      </w:r>
    </w:p>
    <w:p>
      <w:pPr>
        <w:adjustRightInd w:val="0"/>
        <w:snapToGrid w:val="0"/>
        <w:spacing w:line="500" w:lineRule="exact"/>
        <w:ind w:firstLine="1600" w:firstLineChars="500"/>
        <w:rPr>
          <w:rFonts w:eastAsia="方正仿宋_GBK"/>
        </w:rPr>
      </w:pPr>
      <w:r>
        <w:rPr>
          <w:rFonts w:eastAsia="方正仿宋_GBK"/>
          <w:i/>
          <w:iCs/>
        </w:rPr>
        <w:t>V</w:t>
      </w:r>
      <w:r>
        <w:rPr>
          <w:rFonts w:eastAsia="方正仿宋_GBK"/>
          <w:vertAlign w:val="subscript"/>
        </w:rPr>
        <w:t>2a</w:t>
      </w:r>
      <w:r>
        <w:rPr>
          <w:rFonts w:hint="eastAsia" w:eastAsia="方正仿宋_GBK"/>
        </w:rPr>
        <w:t>──主体结构竖向构件中预制构件体积之和；</w:t>
      </w:r>
    </w:p>
    <w:p>
      <w:pPr>
        <w:adjustRightInd w:val="0"/>
        <w:snapToGrid w:val="0"/>
        <w:spacing w:line="500" w:lineRule="exact"/>
        <w:ind w:firstLine="1600" w:firstLineChars="500"/>
        <w:rPr>
          <w:rFonts w:eastAsia="方正仿宋_GBK"/>
        </w:rPr>
      </w:pPr>
      <w:r>
        <w:rPr>
          <w:rFonts w:eastAsia="方正仿宋_GBK"/>
          <w:i/>
          <w:iCs/>
        </w:rPr>
        <w:t>V</w:t>
      </w:r>
      <w:r>
        <w:rPr>
          <w:rFonts w:eastAsia="方正仿宋_GBK"/>
          <w:vertAlign w:val="subscript"/>
        </w:rPr>
        <w:t>p</w:t>
      </w:r>
      <w:r>
        <w:rPr>
          <w:rFonts w:hint="eastAsia" w:eastAsia="方正仿宋_GBK"/>
        </w:rPr>
        <w:t>──主体结构竖向构件总体积。</w:t>
      </w:r>
    </w:p>
    <w:p>
      <w:pPr>
        <w:pStyle w:val="2"/>
        <w:spacing w:after="0" w:line="500" w:lineRule="exact"/>
        <w:ind w:firstLine="640" w:firstLineChars="200"/>
        <w:rPr>
          <w:rFonts w:eastAsia="方正仿宋_GBK"/>
        </w:rPr>
      </w:pPr>
      <w:r>
        <w:rPr>
          <w:rFonts w:hint="eastAsia" w:eastAsia="方正仿宋_GBK"/>
        </w:rPr>
        <w:t>竖向预制构件包括预制混凝土柱（含叠合柱）、钢柱、钢管混凝土柱，预制混凝土墙（含叠合墙）、钢板剪力墙、外包钢板组合剪力墙、钢管束剪力墙、钢支撑等结构构件，不包含型钢混凝土柱等仍需现场支模的竖向构件。</w:t>
      </w:r>
    </w:p>
    <w:p>
      <w:pPr>
        <w:pStyle w:val="2"/>
        <w:spacing w:after="0" w:line="500" w:lineRule="exact"/>
        <w:ind w:firstLine="640" w:firstLineChars="200"/>
        <w:rPr>
          <w:rFonts w:eastAsia="方正仿宋_GBK"/>
          <w:highlight w:val="none"/>
        </w:rPr>
      </w:pPr>
      <w:r>
        <w:rPr>
          <w:rFonts w:hint="eastAsia" w:eastAsia="方正仿宋_GBK"/>
        </w:rPr>
        <w:t>竖向预制构件体积按构件外轮廓几何体计算。预制剪力墙板之间宽度不大于</w:t>
      </w:r>
      <w:r>
        <w:rPr>
          <w:rFonts w:eastAsia="方正仿宋_GBK"/>
        </w:rPr>
        <w:t>600mm</w:t>
      </w:r>
      <w:r>
        <w:rPr>
          <w:rFonts w:hint="eastAsia" w:eastAsia="方正仿宋_GBK"/>
        </w:rPr>
        <w:t>的竖向现浇段和高度不大于</w:t>
      </w:r>
      <w:r>
        <w:rPr>
          <w:rFonts w:eastAsia="方正仿宋_GBK"/>
        </w:rPr>
        <w:t>300mm</w:t>
      </w:r>
      <w:r>
        <w:rPr>
          <w:rFonts w:hint="eastAsia" w:eastAsia="方正仿宋_GBK"/>
        </w:rPr>
        <w:t>的水平现浇段混凝土体积，预制墙板的端柱或边长不大于</w:t>
      </w:r>
      <w:r>
        <w:rPr>
          <w:rFonts w:eastAsia="方正仿宋_GBK"/>
        </w:rPr>
        <w:t>400mm</w:t>
      </w:r>
      <w:r>
        <w:rPr>
          <w:rFonts w:hint="eastAsia" w:eastAsia="方正仿宋_GBK"/>
        </w:rPr>
        <w:t>的暗柱，预制剪力墙边长不大于</w:t>
      </w:r>
      <w:r>
        <w:rPr>
          <w:rFonts w:eastAsia="方正仿宋_GBK"/>
        </w:rPr>
        <w:t>600mm</w:t>
      </w:r>
      <w:r>
        <w:rPr>
          <w:rFonts w:hint="eastAsia" w:eastAsia="方正仿宋_GBK"/>
        </w:rPr>
        <w:t>的翼墙，预制柱间高度不大于柱截面较小尺寸（小于</w:t>
      </w:r>
      <w:r>
        <w:rPr>
          <w:rFonts w:eastAsia="方正仿宋_GBK"/>
        </w:rPr>
        <w:t>800mm</w:t>
      </w:r>
      <w:r>
        <w:rPr>
          <w:rFonts w:hint="eastAsia" w:eastAsia="方正仿宋_GBK"/>
        </w:rPr>
        <w:t>时取</w:t>
      </w:r>
      <w:r>
        <w:rPr>
          <w:rFonts w:eastAsia="方正仿宋_GBK"/>
        </w:rPr>
        <w:t>800mm</w:t>
      </w:r>
      <w:r>
        <w:rPr>
          <w:rFonts w:hint="eastAsia" w:eastAsia="方正仿宋_GBK"/>
        </w:rPr>
        <w:t>）的连接区后浇混凝土体积，预制框架柱和框架梁之间柱梁节点区的后浇混凝土体积，均可计入竖向预制构件体积</w:t>
      </w:r>
      <w:r>
        <w:rPr>
          <w:rFonts w:hint="eastAsia" w:eastAsia="方正仿宋_GBK"/>
          <w:highlight w:val="none"/>
        </w:rPr>
        <w:t>。剪力墙带边缘构件预制时，预制剪力墙体积可乘以</w:t>
      </w:r>
      <w:r>
        <w:rPr>
          <w:rFonts w:eastAsia="方正仿宋_GBK"/>
          <w:highlight w:val="none"/>
        </w:rPr>
        <w:t>1.2</w:t>
      </w:r>
      <w:r>
        <w:rPr>
          <w:rFonts w:hint="eastAsia" w:eastAsia="方正仿宋_GBK"/>
          <w:highlight w:val="none"/>
        </w:rPr>
        <w:t>的修正系数。</w:t>
      </w:r>
    </w:p>
    <w:p>
      <w:pPr>
        <w:pStyle w:val="2"/>
        <w:spacing w:after="0" w:line="500" w:lineRule="exact"/>
        <w:ind w:firstLine="640" w:firstLineChars="200"/>
        <w:rPr>
          <w:rFonts w:eastAsia="方正仿宋_GBK"/>
        </w:rPr>
      </w:pPr>
      <w:r>
        <w:rPr>
          <w:rFonts w:hint="eastAsia" w:eastAsia="方正仿宋_GBK"/>
        </w:rPr>
        <w:t>混凝土剪力墙居住建筑非承重围护墙中的预制混凝土墙板（按</w:t>
      </w:r>
      <w:r>
        <w:rPr>
          <w:rFonts w:hint="eastAsia" w:eastAsia="方正仿宋_GBK"/>
          <w:lang w:val="en-US" w:eastAsia="zh-CN"/>
        </w:rPr>
        <w:t>预制</w:t>
      </w:r>
      <w:r>
        <w:rPr>
          <w:rFonts w:hint="eastAsia" w:eastAsia="方正仿宋_GBK"/>
        </w:rPr>
        <w:t>构件外轮廓几何体计算）可同时计入竖向预制构件体积</w:t>
      </w:r>
      <w:r>
        <w:rPr>
          <w:rFonts w:eastAsia="方正仿宋_GBK"/>
          <w:i/>
          <w:iCs/>
        </w:rPr>
        <w:t>V</w:t>
      </w:r>
      <w:r>
        <w:rPr>
          <w:rFonts w:eastAsia="方正仿宋_GBK"/>
          <w:vertAlign w:val="subscript"/>
        </w:rPr>
        <w:t>2a</w:t>
      </w:r>
      <w:r>
        <w:rPr>
          <w:rFonts w:hint="eastAsia" w:eastAsia="方正仿宋_GBK"/>
        </w:rPr>
        <w:t>和</w:t>
      </w:r>
      <w:r>
        <w:rPr>
          <w:rFonts w:eastAsia="方正仿宋_GBK"/>
          <w:i/>
          <w:iCs/>
        </w:rPr>
        <w:t>V</w:t>
      </w:r>
      <w:r>
        <w:rPr>
          <w:rFonts w:eastAsia="方正仿宋_GBK"/>
          <w:vertAlign w:val="subscript"/>
        </w:rPr>
        <w:t>p</w:t>
      </w:r>
      <w:r>
        <w:rPr>
          <w:rFonts w:hint="eastAsia" w:eastAsia="方正仿宋_GBK"/>
        </w:rPr>
        <w:t>中。</w:t>
      </w:r>
    </w:p>
    <w:p>
      <w:pPr>
        <w:adjustRightInd w:val="0"/>
        <w:snapToGrid w:val="0"/>
        <w:spacing w:line="500" w:lineRule="exact"/>
        <w:ind w:firstLine="640" w:firstLineChars="200"/>
        <w:rPr>
          <w:rFonts w:eastAsia="方正仿宋_GBK"/>
        </w:rPr>
      </w:pPr>
      <w:r>
        <w:rPr>
          <w:rFonts w:eastAsia="方正仿宋_GBK"/>
        </w:rPr>
        <w:t>2</w:t>
      </w:r>
      <w:r>
        <w:rPr>
          <w:rFonts w:hint="eastAsia" w:eastAsia="方正仿宋_GBK"/>
        </w:rPr>
        <w:t>．梁类预制构件的应用比例按下式计算：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2b</w:t>
      </w:r>
      <w:r>
        <w:rPr>
          <w:rFonts w:eastAsia="方正仿宋_GBK"/>
          <w:i/>
          <w:iCs/>
        </w:rPr>
        <w:t>=L</w:t>
      </w:r>
      <w:r>
        <w:rPr>
          <w:rFonts w:eastAsia="方正仿宋_GBK"/>
          <w:vertAlign w:val="subscript"/>
        </w:rPr>
        <w:t>2b</w:t>
      </w:r>
      <w:r>
        <w:rPr>
          <w:rFonts w:eastAsia="方正仿宋_GBK"/>
          <w:i/>
          <w:iCs/>
        </w:rPr>
        <w:t>/L</w:t>
      </w:r>
      <w:r>
        <w:rPr>
          <w:rFonts w:eastAsia="方正仿宋_GBK"/>
          <w:vertAlign w:val="subscript"/>
        </w:rPr>
        <w:t>b</w:t>
      </w:r>
      <w:r>
        <w:rPr>
          <w:rFonts w:eastAsia="方正仿宋_GBK"/>
        </w:rPr>
        <w:t>×100%</w:t>
      </w:r>
      <w:r>
        <w:rPr>
          <w:rFonts w:eastAsia="方正仿宋_GBK"/>
        </w:rPr>
        <w:tab/>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2b</w:t>
      </w:r>
      <w:r>
        <w:rPr>
          <w:rFonts w:hint="eastAsia" w:eastAsia="方正仿宋_GBK"/>
        </w:rPr>
        <w:t>──梁类预制构件的应用比例；</w:t>
      </w:r>
    </w:p>
    <w:p>
      <w:pPr>
        <w:adjustRightInd w:val="0"/>
        <w:snapToGrid w:val="0"/>
        <w:spacing w:line="500" w:lineRule="exact"/>
        <w:ind w:firstLine="1600" w:firstLineChars="500"/>
        <w:rPr>
          <w:rFonts w:eastAsia="方正仿宋_GBK"/>
        </w:rPr>
      </w:pPr>
      <w:r>
        <w:rPr>
          <w:rFonts w:eastAsia="方正仿宋_GBK"/>
          <w:i/>
          <w:iCs/>
        </w:rPr>
        <w:t>L</w:t>
      </w:r>
      <w:r>
        <w:rPr>
          <w:rFonts w:eastAsia="方正仿宋_GBK"/>
          <w:vertAlign w:val="subscript"/>
        </w:rPr>
        <w:t>2b</w:t>
      </w:r>
      <w:r>
        <w:rPr>
          <w:rFonts w:hint="eastAsia" w:eastAsia="方正仿宋_GBK"/>
        </w:rPr>
        <w:t>──梁类预制构件的中心线长度之和；</w:t>
      </w:r>
    </w:p>
    <w:p>
      <w:pPr>
        <w:adjustRightInd w:val="0"/>
        <w:snapToGrid w:val="0"/>
        <w:spacing w:line="500" w:lineRule="exact"/>
        <w:ind w:firstLine="1600" w:firstLineChars="500"/>
        <w:rPr>
          <w:rFonts w:eastAsia="方正仿宋_GBK"/>
        </w:rPr>
      </w:pPr>
      <w:r>
        <w:rPr>
          <w:rFonts w:eastAsia="方正仿宋_GBK"/>
          <w:i/>
          <w:iCs/>
        </w:rPr>
        <w:t>L</w:t>
      </w:r>
      <w:r>
        <w:rPr>
          <w:rFonts w:eastAsia="方正仿宋_GBK"/>
          <w:vertAlign w:val="subscript"/>
        </w:rPr>
        <w:t>b</w:t>
      </w:r>
      <w:r>
        <w:rPr>
          <w:rFonts w:hint="eastAsia" w:eastAsia="方正仿宋_GBK"/>
        </w:rPr>
        <w:t>──所有楼层梁净跨的中心线总长度。</w:t>
      </w:r>
    </w:p>
    <w:p>
      <w:pPr>
        <w:adjustRightInd w:val="0"/>
        <w:snapToGrid w:val="0"/>
        <w:spacing w:line="500" w:lineRule="exact"/>
        <w:ind w:firstLine="640" w:firstLineChars="200"/>
        <w:rPr>
          <w:rFonts w:eastAsia="方正仿宋_GBK"/>
        </w:rPr>
      </w:pPr>
      <w:r>
        <w:rPr>
          <w:rFonts w:hint="eastAsia" w:eastAsia="方正仿宋_GBK"/>
        </w:rPr>
        <w:t>梁类预制构件包括预制混凝土梁、钢梁、外包钢混凝土组合梁、木梁以及不需要现场支模的钢混组合预制梁等。屋面楼盖现浇时其楼层梁长度可不计入</w:t>
      </w:r>
      <w:r>
        <w:rPr>
          <w:rFonts w:eastAsia="方正仿宋_GBK"/>
          <w:i/>
          <w:iCs/>
        </w:rPr>
        <w:t>L</w:t>
      </w:r>
      <w:r>
        <w:rPr>
          <w:rFonts w:eastAsia="方正仿宋_GBK"/>
          <w:vertAlign w:val="subscript"/>
        </w:rPr>
        <w:t>b</w:t>
      </w:r>
      <w:r>
        <w:rPr>
          <w:rFonts w:hint="eastAsia" w:eastAsia="方正仿宋_GBK"/>
        </w:rPr>
        <w:t>中。</w:t>
      </w:r>
    </w:p>
    <w:p>
      <w:pPr>
        <w:adjustRightInd w:val="0"/>
        <w:snapToGrid w:val="0"/>
        <w:spacing w:line="500" w:lineRule="exact"/>
        <w:ind w:firstLine="640" w:firstLineChars="200"/>
        <w:rPr>
          <w:rFonts w:eastAsia="方正仿宋_GBK"/>
        </w:rPr>
      </w:pPr>
      <w:r>
        <w:rPr>
          <w:rFonts w:eastAsia="方正仿宋_GBK"/>
        </w:rPr>
        <w:t>3</w:t>
      </w:r>
      <w:r>
        <w:rPr>
          <w:rFonts w:hint="eastAsia" w:eastAsia="方正仿宋_GBK"/>
        </w:rPr>
        <w:t>．板类预制构件的应用比例按下式计算：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2c</w:t>
      </w:r>
      <w:r>
        <w:rPr>
          <w:rFonts w:eastAsia="方正仿宋_GBK"/>
          <w:i/>
          <w:iCs/>
        </w:rPr>
        <w:t>=A</w:t>
      </w:r>
      <w:r>
        <w:rPr>
          <w:rFonts w:eastAsia="方正仿宋_GBK"/>
          <w:vertAlign w:val="subscript"/>
        </w:rPr>
        <w:t>2c</w:t>
      </w:r>
      <w:r>
        <w:rPr>
          <w:rFonts w:eastAsia="方正仿宋_GBK"/>
          <w:i/>
          <w:iCs/>
        </w:rPr>
        <w:t>/A</w:t>
      </w:r>
      <w:r>
        <w:rPr>
          <w:rFonts w:eastAsia="方正仿宋_GBK"/>
          <w:vertAlign w:val="subscript"/>
        </w:rPr>
        <w:t>p</w:t>
      </w:r>
      <w:r>
        <w:rPr>
          <w:rFonts w:eastAsia="方正仿宋_GBK"/>
        </w:rPr>
        <w:t>×100%</w:t>
      </w:r>
      <w:r>
        <w:rPr>
          <w:rFonts w:eastAsia="方正仿宋_GBK"/>
        </w:rPr>
        <w:tab/>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2c</w:t>
      </w:r>
      <w:r>
        <w:rPr>
          <w:rFonts w:hint="eastAsia" w:eastAsia="方正仿宋_GBK"/>
        </w:rPr>
        <w:t>──板类预制构件的应用比例；</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2c</w:t>
      </w:r>
      <w:r>
        <w:rPr>
          <w:rFonts w:hint="eastAsia" w:eastAsia="方正仿宋_GBK"/>
        </w:rPr>
        <w:t>──各楼层中板类预制构件的水平投影面积之和；</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p</w:t>
      </w:r>
      <w:r>
        <w:rPr>
          <w:rFonts w:hint="eastAsia" w:eastAsia="方正仿宋_GBK"/>
        </w:rPr>
        <w:t>──地上建筑面积，可扣除各层计入建筑面积的楼层梁（不含暗梁）和不小于</w:t>
      </w:r>
      <w:r>
        <w:rPr>
          <w:rFonts w:eastAsia="方正仿宋_GBK"/>
        </w:rPr>
        <w:t>1m</w:t>
      </w:r>
      <w:r>
        <w:rPr>
          <w:rFonts w:eastAsia="方正仿宋_GBK"/>
          <w:vertAlign w:val="superscript"/>
        </w:rPr>
        <w:t>2</w:t>
      </w:r>
      <w:r>
        <w:rPr>
          <w:rFonts w:hint="eastAsia" w:eastAsia="方正仿宋_GBK"/>
        </w:rPr>
        <w:t>洞口的水平投影面积。</w:t>
      </w:r>
    </w:p>
    <w:p>
      <w:pPr>
        <w:adjustRightInd w:val="0"/>
        <w:snapToGrid w:val="0"/>
        <w:spacing w:line="500" w:lineRule="exact"/>
        <w:ind w:firstLine="640" w:firstLineChars="200"/>
        <w:rPr>
          <w:rFonts w:hint="default" w:eastAsia="方正仿宋_GBK"/>
          <w:highlight w:val="none"/>
          <w:lang w:val="en-US"/>
        </w:rPr>
      </w:pPr>
      <w:r>
        <w:rPr>
          <w:rFonts w:hint="eastAsia" w:eastAsia="方正仿宋_GBK"/>
        </w:rPr>
        <w:t>板类预制构件包括楼板、阳台、屋面板等部位的叠合楼板类预制构件，木楼板、钢楼板、预制楼梯、预制空调板等全截面</w:t>
      </w:r>
      <w:r>
        <w:rPr>
          <w:rFonts w:hint="eastAsia" w:eastAsia="方正仿宋_GBK"/>
          <w:lang w:val="en-US" w:eastAsia="zh-CN"/>
        </w:rPr>
        <w:t>类</w:t>
      </w:r>
      <w:r>
        <w:rPr>
          <w:rFonts w:hint="eastAsia" w:eastAsia="方正仿宋_GBK"/>
        </w:rPr>
        <w:t>预制构件，压型钢板、钢筋桁架楼承板等免拆底模楼承板类预制构件。</w:t>
      </w:r>
    </w:p>
    <w:p>
      <w:pPr>
        <w:adjustRightInd w:val="0"/>
        <w:snapToGrid w:val="0"/>
        <w:spacing w:line="500" w:lineRule="exact"/>
        <w:ind w:firstLine="640" w:firstLineChars="200"/>
        <w:rPr>
          <w:rFonts w:eastAsia="方正仿宋_GBK"/>
        </w:rPr>
      </w:pPr>
      <w:r>
        <w:rPr>
          <w:rFonts w:hint="eastAsia" w:eastAsia="方正仿宋_GBK"/>
        </w:rPr>
        <w:t>叠合楼板预制底板间宽度不大于</w:t>
      </w:r>
      <w:r>
        <w:rPr>
          <w:rFonts w:eastAsia="方正仿宋_GBK"/>
        </w:rPr>
        <w:t>300mm</w:t>
      </w:r>
      <w:r>
        <w:rPr>
          <w:rFonts w:hint="eastAsia" w:eastAsia="方正仿宋_GBK"/>
        </w:rPr>
        <w:t>的后浇混凝土接缝，装配式空心叠合楼盖（须满足支撑间距不小于</w:t>
      </w:r>
      <w:r>
        <w:rPr>
          <w:rFonts w:eastAsia="方正仿宋_GBK"/>
        </w:rPr>
        <w:t>2m</w:t>
      </w:r>
      <w:r>
        <w:rPr>
          <w:rFonts w:hint="eastAsia" w:eastAsia="方正仿宋_GBK"/>
        </w:rPr>
        <w:t>）预制底板间宽度不大于</w:t>
      </w:r>
      <w:r>
        <w:rPr>
          <w:rFonts w:eastAsia="方正仿宋_GBK"/>
        </w:rPr>
        <w:t>200mm</w:t>
      </w:r>
      <w:r>
        <w:rPr>
          <w:rFonts w:hint="eastAsia" w:eastAsia="方正仿宋_GBK"/>
        </w:rPr>
        <w:t>的后浇混凝土肋梁</w:t>
      </w:r>
      <w:r>
        <w:rPr>
          <w:rFonts w:hint="eastAsia" w:eastAsia="方正仿宋_GBK"/>
          <w:lang w:eastAsia="zh-CN"/>
        </w:rPr>
        <w:t>，</w:t>
      </w:r>
      <w:r>
        <w:rPr>
          <w:rFonts w:hint="eastAsia" w:eastAsia="方正仿宋_GBK"/>
          <w:lang w:val="en-US" w:eastAsia="zh-CN"/>
        </w:rPr>
        <w:t>其</w:t>
      </w:r>
      <w:r>
        <w:rPr>
          <w:rFonts w:hint="eastAsia" w:eastAsia="方正仿宋_GBK"/>
        </w:rPr>
        <w:t>水平投影面积可计入</w:t>
      </w:r>
      <w:r>
        <w:rPr>
          <w:rFonts w:eastAsia="方正仿宋_GBK"/>
          <w:i/>
          <w:iCs/>
        </w:rPr>
        <w:t>A</w:t>
      </w:r>
      <w:r>
        <w:rPr>
          <w:rFonts w:eastAsia="方正仿宋_GBK"/>
          <w:vertAlign w:val="subscript"/>
        </w:rPr>
        <w:t>2c</w:t>
      </w:r>
      <w:r>
        <w:rPr>
          <w:rFonts w:hint="eastAsia" w:eastAsia="方正仿宋_GBK"/>
        </w:rPr>
        <w:t>中。叠合楼板采用密拼式接缝时其预制底板面积可乘以</w:t>
      </w:r>
      <w:r>
        <w:rPr>
          <w:rFonts w:eastAsia="方正仿宋_GBK"/>
        </w:rPr>
        <w:t>1.1</w:t>
      </w:r>
      <w:r>
        <w:rPr>
          <w:rFonts w:hint="eastAsia" w:eastAsia="方正仿宋_GBK"/>
        </w:rPr>
        <w:t>的修正系数。屋面板现浇时可在</w:t>
      </w:r>
      <w:r>
        <w:rPr>
          <w:rFonts w:eastAsia="方正仿宋_GBK"/>
          <w:i/>
          <w:iCs/>
        </w:rPr>
        <w:t>A</w:t>
      </w:r>
      <w:r>
        <w:rPr>
          <w:rFonts w:eastAsia="方正仿宋_GBK"/>
          <w:vertAlign w:val="subscript"/>
        </w:rPr>
        <w:t>p</w:t>
      </w:r>
      <w:r>
        <w:rPr>
          <w:rFonts w:hint="eastAsia" w:eastAsia="方正仿宋_GBK"/>
        </w:rPr>
        <w:t>中扣除建筑围护墙范围以内的屋面水平投影面积。</w:t>
      </w:r>
    </w:p>
    <w:p>
      <w:pPr>
        <w:adjustRightInd w:val="0"/>
        <w:snapToGrid w:val="0"/>
        <w:spacing w:line="500" w:lineRule="exact"/>
        <w:ind w:firstLine="640" w:firstLineChars="200"/>
        <w:rPr>
          <w:rFonts w:eastAsia="方正仿宋_GBK"/>
        </w:rPr>
      </w:pPr>
      <w:r>
        <w:rPr>
          <w:rFonts w:eastAsia="方正仿宋_GBK"/>
        </w:rPr>
        <w:t>4</w:t>
      </w:r>
      <w:r>
        <w:rPr>
          <w:rFonts w:hint="eastAsia" w:eastAsia="方正仿宋_GBK"/>
        </w:rPr>
        <w:t>．支撑系统满足以下条件可得相应分值：</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83" w:type="dxa"/>
            <w:tcBorders>
              <w:left w:val="nil"/>
              <w:right w:val="single" w:color="auto" w:sz="4" w:space="0"/>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类型</w:t>
            </w:r>
          </w:p>
        </w:tc>
        <w:tc>
          <w:tcPr>
            <w:tcW w:w="7352" w:type="dxa"/>
            <w:tcBorders>
              <w:left w:val="single" w:color="auto" w:sz="4" w:space="0"/>
              <w:right w:val="nil"/>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3" w:type="dxa"/>
            <w:tcBorders>
              <w:left w:val="nil"/>
              <w:right w:val="single" w:color="auto" w:sz="4" w:space="0"/>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系统采用高精度模板施工工艺</w:t>
            </w:r>
          </w:p>
        </w:tc>
        <w:tc>
          <w:tcPr>
            <w:tcW w:w="7352" w:type="dxa"/>
            <w:tcBorders>
              <w:left w:val="single" w:color="auto" w:sz="4" w:space="0"/>
              <w:right w:val="nil"/>
            </w:tcBorders>
            <w:vAlign w:val="center"/>
          </w:tcPr>
          <w:p>
            <w:pPr>
              <w:adjustRightInd w:val="0"/>
              <w:snapToGrid w:val="0"/>
              <w:spacing w:line="440" w:lineRule="exact"/>
              <w:ind w:firstLine="560" w:firstLineChars="200"/>
              <w:jc w:val="left"/>
              <w:rPr>
                <w:rFonts w:eastAsia="方正仿宋_GBK"/>
                <w:sz w:val="28"/>
                <w:szCs w:val="36"/>
              </w:rPr>
            </w:pPr>
            <w:r>
              <w:rPr>
                <w:rFonts w:hint="eastAsia" w:eastAsia="方正仿宋_GBK"/>
                <w:sz w:val="28"/>
                <w:szCs w:val="28"/>
              </w:rPr>
              <w:t>系统采用高精度模板施工工艺是指单体建筑正负零标高以上主体结构全部</w:t>
            </w:r>
            <w:r>
              <w:rPr>
                <w:rFonts w:hint="eastAsia" w:eastAsia="方正仿宋_GBK"/>
                <w:sz w:val="28"/>
                <w:szCs w:val="36"/>
              </w:rPr>
              <w:t>采用高精度模板及其配套支撑系统的施工工艺。高精度模板施工工艺是指现浇</w:t>
            </w:r>
            <w:r>
              <w:rPr>
                <w:rFonts w:hint="eastAsia" w:eastAsia="方正仿宋_GBK"/>
                <w:sz w:val="28"/>
                <w:szCs w:val="36"/>
                <w:lang w:val="en-US" w:eastAsia="zh-CN"/>
              </w:rPr>
              <w:t>混凝土</w:t>
            </w:r>
            <w:r>
              <w:rPr>
                <w:rFonts w:hint="eastAsia" w:eastAsia="方正仿宋_GBK"/>
                <w:sz w:val="28"/>
                <w:szCs w:val="36"/>
              </w:rPr>
              <w:t>成型平整度偏差达到</w:t>
            </w:r>
            <w:r>
              <w:rPr>
                <w:rFonts w:eastAsia="方正仿宋_GBK"/>
                <w:sz w:val="28"/>
                <w:szCs w:val="36"/>
              </w:rPr>
              <w:t xml:space="preserve">4mm/2m </w:t>
            </w:r>
            <w:r>
              <w:rPr>
                <w:rFonts w:hint="eastAsia" w:eastAsia="方正仿宋_GBK"/>
                <w:sz w:val="28"/>
                <w:szCs w:val="36"/>
              </w:rPr>
              <w:t>的工艺。</w:t>
            </w:r>
            <w:r>
              <w:rPr>
                <w:rFonts w:eastAsia="方正仿宋_GBK"/>
                <w:sz w:val="28"/>
                <w:szCs w:val="36"/>
              </w:rPr>
              <w:t xml:space="preserve"> </w:t>
            </w:r>
          </w:p>
          <w:p>
            <w:pPr>
              <w:adjustRightInd w:val="0"/>
              <w:snapToGrid w:val="0"/>
              <w:spacing w:line="440" w:lineRule="exact"/>
              <w:ind w:firstLine="280" w:firstLineChars="100"/>
              <w:jc w:val="left"/>
              <w:rPr>
                <w:rFonts w:eastAsia="方正仿宋_GBK"/>
                <w:sz w:val="28"/>
                <w:szCs w:val="36"/>
              </w:rPr>
            </w:pPr>
            <w:r>
              <w:rPr>
                <w:rFonts w:eastAsia="方正仿宋_GBK"/>
                <w:sz w:val="28"/>
                <w:szCs w:val="36"/>
              </w:rPr>
              <w:t xml:space="preserve">  </w:t>
            </w:r>
            <w:r>
              <w:rPr>
                <w:rFonts w:hint="eastAsia" w:eastAsia="方正仿宋_GBK"/>
                <w:sz w:val="28"/>
                <w:szCs w:val="36"/>
              </w:rPr>
              <w:t>要求在单体建筑</w:t>
            </w:r>
            <w:r>
              <w:rPr>
                <w:rFonts w:hint="eastAsia" w:eastAsia="方正仿宋_GBK"/>
                <w:sz w:val="28"/>
                <w:szCs w:val="28"/>
              </w:rPr>
              <w:t>正负零</w:t>
            </w:r>
            <w:r>
              <w:rPr>
                <w:rFonts w:hint="eastAsia" w:eastAsia="方正仿宋_GBK"/>
                <w:sz w:val="28"/>
                <w:szCs w:val="36"/>
              </w:rPr>
              <w:t>标高以上主体结构模板系统中全面采用，入户门头、门厅转换、底部墙肢加厚等个别非标部位可不采用高精度模板，但实施比例不得低于</w:t>
            </w:r>
            <w:r>
              <w:rPr>
                <w:rFonts w:eastAsia="方正仿宋_GBK"/>
                <w:sz w:val="28"/>
                <w:szCs w:val="36"/>
              </w:rPr>
              <w:t>80%</w:t>
            </w:r>
            <w:r>
              <w:rPr>
                <w:rFonts w:hint="eastAsia" w:eastAsia="方正仿宋_GBK"/>
                <w:sz w:val="28"/>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83" w:type="dxa"/>
            <w:tcBorders>
              <w:left w:val="nil"/>
              <w:right w:val="single" w:color="auto" w:sz="4" w:space="0"/>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铝合金井字支撑系统</w:t>
            </w:r>
          </w:p>
        </w:tc>
        <w:tc>
          <w:tcPr>
            <w:tcW w:w="7352" w:type="dxa"/>
            <w:tcBorders>
              <w:left w:val="single" w:color="auto" w:sz="4" w:space="0"/>
              <w:right w:val="nil"/>
            </w:tcBorders>
            <w:vAlign w:val="center"/>
          </w:tcPr>
          <w:p>
            <w:pPr>
              <w:adjustRightInd w:val="0"/>
              <w:snapToGrid w:val="0"/>
              <w:spacing w:line="440" w:lineRule="exact"/>
              <w:ind w:firstLine="560" w:firstLineChars="200"/>
              <w:jc w:val="left"/>
              <w:rPr>
                <w:rFonts w:eastAsia="方正仿宋_GBK"/>
                <w:sz w:val="28"/>
                <w:szCs w:val="36"/>
              </w:rPr>
            </w:pPr>
            <w:r>
              <w:rPr>
                <w:rFonts w:hint="eastAsia" w:eastAsia="方正仿宋_GBK"/>
                <w:sz w:val="28"/>
                <w:szCs w:val="28"/>
              </w:rPr>
              <w:t>铝合金井字支撑系统是指</w:t>
            </w:r>
            <w:r>
              <w:rPr>
                <w:rFonts w:hint="eastAsia" w:eastAsia="方正仿宋_GBK"/>
                <w:sz w:val="28"/>
                <w:szCs w:val="36"/>
              </w:rPr>
              <w:t>由铝合金型材等组合而成</w:t>
            </w:r>
            <w:r>
              <w:rPr>
                <w:rFonts w:hint="eastAsia" w:eastAsia="方正仿宋_GBK"/>
                <w:sz w:val="28"/>
                <w:szCs w:val="36"/>
                <w:lang w:eastAsia="zh-CN"/>
              </w:rPr>
              <w:t>，</w:t>
            </w:r>
            <w:r>
              <w:rPr>
                <w:rFonts w:hint="eastAsia" w:eastAsia="方正仿宋_GBK"/>
                <w:sz w:val="28"/>
                <w:szCs w:val="36"/>
              </w:rPr>
              <w:t>用于承托预制构件及施工荷载的水平井字梁系，并与竖向独立钢支柱和斜支撑等构配件共同组成的稳定支撑系统。</w:t>
            </w:r>
          </w:p>
          <w:p>
            <w:pPr>
              <w:adjustRightInd w:val="0"/>
              <w:snapToGrid w:val="0"/>
              <w:spacing w:line="440" w:lineRule="exact"/>
              <w:ind w:firstLine="560" w:firstLineChars="200"/>
              <w:jc w:val="left"/>
              <w:rPr>
                <w:rFonts w:eastAsia="方正仿宋_GBK"/>
                <w:sz w:val="28"/>
                <w:szCs w:val="36"/>
              </w:rPr>
            </w:pPr>
            <w:r>
              <w:rPr>
                <w:rFonts w:hint="eastAsia" w:eastAsia="方正仿宋_GBK"/>
                <w:sz w:val="28"/>
                <w:szCs w:val="36"/>
              </w:rPr>
              <w:t>要求在单体建筑</w:t>
            </w:r>
            <w:r>
              <w:rPr>
                <w:rFonts w:hint="eastAsia" w:eastAsia="方正仿宋_GBK"/>
                <w:sz w:val="28"/>
                <w:szCs w:val="28"/>
              </w:rPr>
              <w:t>正负零</w:t>
            </w:r>
            <w:r>
              <w:rPr>
                <w:rFonts w:hint="eastAsia" w:eastAsia="方正仿宋_GBK"/>
                <w:sz w:val="28"/>
                <w:szCs w:val="36"/>
              </w:rPr>
              <w:t>标高以上主体结构全部采用。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783" w:type="dxa"/>
            <w:tcBorders>
              <w:left w:val="nil"/>
              <w:right w:val="single" w:color="auto" w:sz="4" w:space="0"/>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竖向支撑采用独立钢支柱</w:t>
            </w:r>
          </w:p>
        </w:tc>
        <w:tc>
          <w:tcPr>
            <w:tcW w:w="7352" w:type="dxa"/>
            <w:tcBorders>
              <w:left w:val="single" w:color="auto" w:sz="4" w:space="0"/>
              <w:right w:val="nil"/>
            </w:tcBorders>
            <w:vAlign w:val="center"/>
          </w:tcPr>
          <w:p>
            <w:pPr>
              <w:adjustRightInd w:val="0"/>
              <w:snapToGrid w:val="0"/>
              <w:spacing w:line="440" w:lineRule="exact"/>
              <w:ind w:firstLine="560" w:firstLineChars="200"/>
              <w:jc w:val="left"/>
              <w:rPr>
                <w:rFonts w:eastAsia="方正仿宋_GBK"/>
                <w:sz w:val="28"/>
                <w:szCs w:val="36"/>
              </w:rPr>
            </w:pPr>
            <w:r>
              <w:rPr>
                <w:rFonts w:hint="eastAsia" w:eastAsia="方正仿宋_GBK"/>
                <w:sz w:val="28"/>
                <w:szCs w:val="28"/>
              </w:rPr>
              <w:t>竖向支撑采用独立钢支柱是指水平预制构件的竖向支撑全部采用独立钢支柱施工。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783" w:type="dxa"/>
            <w:tcBorders>
              <w:left w:val="nil"/>
              <w:right w:val="single" w:color="auto" w:sz="4" w:space="0"/>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竖向支撑间距不小于</w:t>
            </w:r>
            <w:r>
              <w:rPr>
                <w:rFonts w:eastAsia="方正仿宋_GBK"/>
                <w:sz w:val="28"/>
                <w:szCs w:val="28"/>
              </w:rPr>
              <w:t>2m</w:t>
            </w:r>
          </w:p>
        </w:tc>
        <w:tc>
          <w:tcPr>
            <w:tcW w:w="7352" w:type="dxa"/>
            <w:tcBorders>
              <w:left w:val="single" w:color="auto" w:sz="4" w:space="0"/>
              <w:right w:val="nil"/>
            </w:tcBorders>
            <w:vAlign w:val="center"/>
          </w:tcPr>
          <w:p>
            <w:pPr>
              <w:adjustRightInd w:val="0"/>
              <w:snapToGrid w:val="0"/>
              <w:spacing w:line="440" w:lineRule="exact"/>
              <w:ind w:firstLine="560" w:firstLineChars="200"/>
              <w:jc w:val="left"/>
              <w:rPr>
                <w:rFonts w:eastAsia="方正仿宋_GBK"/>
                <w:sz w:val="28"/>
                <w:szCs w:val="28"/>
              </w:rPr>
            </w:pPr>
            <w:r>
              <w:rPr>
                <w:rFonts w:hint="eastAsia" w:eastAsia="方正仿宋_GBK"/>
                <w:sz w:val="28"/>
                <w:szCs w:val="28"/>
              </w:rPr>
              <w:t>竖向支撑间距不小于</w:t>
            </w:r>
            <w:r>
              <w:rPr>
                <w:rFonts w:eastAsia="方正仿宋_GBK"/>
                <w:sz w:val="28"/>
                <w:szCs w:val="28"/>
              </w:rPr>
              <w:t>2m</w:t>
            </w:r>
            <w:r>
              <w:rPr>
                <w:rFonts w:hint="eastAsia" w:eastAsia="方正仿宋_GBK"/>
                <w:sz w:val="28"/>
                <w:szCs w:val="28"/>
              </w:rPr>
              <w:t>是指水平预制构件的竖向支撑体系在一个方向的立杆中心间距不小于</w:t>
            </w:r>
            <w:r>
              <w:rPr>
                <w:rFonts w:eastAsia="方正仿宋_GBK"/>
                <w:sz w:val="28"/>
                <w:szCs w:val="28"/>
              </w:rPr>
              <w:t>2m</w:t>
            </w:r>
            <w:r>
              <w:rPr>
                <w:rFonts w:hint="eastAsia" w:eastAsia="方正仿宋_GBK"/>
                <w:sz w:val="28"/>
                <w:szCs w:val="28"/>
              </w:rPr>
              <w:t>。</w:t>
            </w:r>
          </w:p>
          <w:p>
            <w:pPr>
              <w:adjustRightInd w:val="0"/>
              <w:snapToGrid w:val="0"/>
              <w:spacing w:line="440" w:lineRule="exact"/>
              <w:ind w:firstLine="560" w:firstLineChars="200"/>
              <w:jc w:val="left"/>
              <w:rPr>
                <w:rFonts w:eastAsia="方正仿宋_GBK"/>
                <w:sz w:val="28"/>
              </w:rPr>
            </w:pPr>
            <w:r>
              <w:rPr>
                <w:rFonts w:hint="eastAsia" w:eastAsia="方正仿宋_GBK"/>
                <w:sz w:val="28"/>
                <w:szCs w:val="28"/>
              </w:rPr>
              <w:t>竖向支撑体系可采用</w:t>
            </w:r>
            <w:r>
              <w:rPr>
                <w:rFonts w:hint="eastAsia" w:eastAsia="方正仿宋_GBK"/>
                <w:sz w:val="28"/>
                <w:szCs w:val="36"/>
              </w:rPr>
              <w:t>独立钢支柱、独立</w:t>
            </w:r>
            <w:r>
              <w:rPr>
                <w:rFonts w:hint="eastAsia" w:eastAsia="方正仿宋_GBK"/>
                <w:sz w:val="28"/>
              </w:rPr>
              <w:t>方塔架或</w:t>
            </w:r>
            <w:r>
              <w:rPr>
                <w:rFonts w:hint="eastAsia" w:eastAsia="方正仿宋_GBK"/>
                <w:sz w:val="28"/>
                <w:szCs w:val="36"/>
              </w:rPr>
              <w:t>独立钢支柱与独立</w:t>
            </w:r>
            <w:r>
              <w:rPr>
                <w:rFonts w:hint="eastAsia" w:eastAsia="方正仿宋_GBK"/>
                <w:sz w:val="28"/>
              </w:rPr>
              <w:t>方塔架组合体系等装配式支撑系统。独立方塔架是指采用不少于</w:t>
            </w:r>
            <w:r>
              <w:rPr>
                <w:rFonts w:eastAsia="方正仿宋_GBK"/>
                <w:sz w:val="28"/>
              </w:rPr>
              <w:t>4</w:t>
            </w:r>
            <w:r>
              <w:rPr>
                <w:rFonts w:hint="eastAsia" w:eastAsia="方正仿宋_GBK"/>
                <w:sz w:val="28"/>
              </w:rPr>
              <w:t>根立杆</w:t>
            </w:r>
            <w:r>
              <w:rPr>
                <w:rFonts w:hint="eastAsia" w:eastAsia="方正仿宋_GBK"/>
                <w:sz w:val="28"/>
                <w:lang w:eastAsia="zh-CN"/>
              </w:rPr>
              <w:t>，</w:t>
            </w:r>
            <w:r>
              <w:rPr>
                <w:rFonts w:hint="eastAsia" w:eastAsia="方正仿宋_GBK"/>
                <w:sz w:val="28"/>
                <w:lang w:val="en-US" w:eastAsia="zh-CN"/>
              </w:rPr>
              <w:t>立杆之间</w:t>
            </w:r>
            <w:r>
              <w:rPr>
                <w:rFonts w:hint="eastAsia" w:eastAsia="方正仿宋_GBK"/>
                <w:sz w:val="28"/>
              </w:rPr>
              <w:t>通过水平杆连接且在各个立面均设有连续斜杆的格构式塔形架体支撑系统。独立方塔架应作为整体格构柱以边缘钢管中心计算与其他支撑构件的中心间距。</w:t>
            </w:r>
          </w:p>
          <w:p>
            <w:pPr>
              <w:adjustRightInd w:val="0"/>
              <w:snapToGrid w:val="0"/>
              <w:spacing w:line="440" w:lineRule="exact"/>
              <w:ind w:firstLine="560" w:firstLineChars="200"/>
              <w:jc w:val="left"/>
              <w:rPr>
                <w:rFonts w:eastAsia="方正仿宋_GBK"/>
                <w:sz w:val="28"/>
                <w:szCs w:val="36"/>
              </w:rPr>
            </w:pPr>
            <w:r>
              <w:rPr>
                <w:rFonts w:hint="eastAsia" w:eastAsia="方正仿宋_GBK"/>
                <w:sz w:val="28"/>
                <w:szCs w:val="36"/>
              </w:rPr>
              <w:t>要求单体建筑主体结构水平预制构件全部采用。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1783" w:type="dxa"/>
            <w:tcBorders>
              <w:left w:val="nil"/>
              <w:right w:val="single" w:color="auto" w:sz="4" w:space="0"/>
            </w:tcBorders>
            <w:vAlign w:val="center"/>
          </w:tcPr>
          <w:p>
            <w:pPr>
              <w:adjustRightInd w:val="0"/>
              <w:snapToGrid w:val="0"/>
              <w:spacing w:line="440" w:lineRule="exact"/>
              <w:rPr>
                <w:rFonts w:eastAsia="方正仿宋_GBK"/>
                <w:sz w:val="28"/>
                <w:szCs w:val="28"/>
              </w:rPr>
            </w:pPr>
            <w:r>
              <w:rPr>
                <w:rFonts w:hint="eastAsia" w:eastAsia="方正仿宋_GBK"/>
                <w:sz w:val="28"/>
                <w:szCs w:val="28"/>
              </w:rPr>
              <w:t>预制梁或预制板跨中免支撑</w:t>
            </w:r>
          </w:p>
        </w:tc>
        <w:tc>
          <w:tcPr>
            <w:tcW w:w="7352" w:type="dxa"/>
            <w:tcBorders>
              <w:left w:val="single" w:color="auto" w:sz="4" w:space="0"/>
              <w:right w:val="nil"/>
            </w:tcBorders>
            <w:vAlign w:val="center"/>
          </w:tcPr>
          <w:p>
            <w:pPr>
              <w:adjustRightInd w:val="0"/>
              <w:snapToGrid w:val="0"/>
              <w:spacing w:line="440" w:lineRule="exact"/>
              <w:ind w:firstLine="560" w:firstLineChars="200"/>
              <w:jc w:val="left"/>
              <w:rPr>
                <w:rFonts w:eastAsia="方正仿宋_GBK"/>
                <w:sz w:val="28"/>
              </w:rPr>
            </w:pPr>
            <w:r>
              <w:rPr>
                <w:rFonts w:hint="eastAsia" w:eastAsia="方正仿宋_GBK"/>
                <w:sz w:val="28"/>
              </w:rPr>
              <w:t>预制梁或预制板跨中免支撑是指主体结构采用的全部预制板或预制梁在施工阶段其跨中范围不需要临时支撑（跨度方向端部</w:t>
            </w:r>
            <w:r>
              <w:rPr>
                <w:rFonts w:eastAsia="方正仿宋_GBK"/>
                <w:sz w:val="28"/>
              </w:rPr>
              <w:t>500mm</w:t>
            </w:r>
            <w:r>
              <w:rPr>
                <w:rFonts w:hint="eastAsia" w:eastAsia="方正仿宋_GBK"/>
                <w:sz w:val="28"/>
              </w:rPr>
              <w:t>内可设支撑）的建造方式。</w:t>
            </w:r>
          </w:p>
          <w:p>
            <w:pPr>
              <w:adjustRightInd w:val="0"/>
              <w:snapToGrid w:val="0"/>
              <w:spacing w:line="440" w:lineRule="exact"/>
              <w:ind w:firstLine="560" w:firstLineChars="200"/>
              <w:jc w:val="left"/>
              <w:rPr>
                <w:rFonts w:eastAsia="方正仿宋_GBK"/>
                <w:sz w:val="28"/>
              </w:rPr>
            </w:pPr>
            <w:r>
              <w:rPr>
                <w:rFonts w:hint="eastAsia" w:eastAsia="方正仿宋_GBK"/>
                <w:sz w:val="28"/>
                <w:szCs w:val="36"/>
              </w:rPr>
              <w:t>要求单体建筑预制板或预制梁全部采用</w:t>
            </w:r>
            <w:r>
              <w:rPr>
                <w:rFonts w:hint="eastAsia" w:eastAsia="方正仿宋_GBK"/>
                <w:sz w:val="28"/>
              </w:rPr>
              <w:t>，预制板或预制梁应用比例须满足计算项目最低指标要求。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83" w:type="dxa"/>
            <w:tcBorders>
              <w:left w:val="nil"/>
              <w:right w:val="single" w:color="auto" w:sz="4" w:space="0"/>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预制楼盖免支撑</w:t>
            </w:r>
          </w:p>
        </w:tc>
        <w:tc>
          <w:tcPr>
            <w:tcW w:w="7352" w:type="dxa"/>
            <w:tcBorders>
              <w:left w:val="single" w:color="auto" w:sz="4" w:space="0"/>
              <w:right w:val="nil"/>
            </w:tcBorders>
            <w:vAlign w:val="center"/>
          </w:tcPr>
          <w:p>
            <w:pPr>
              <w:adjustRightInd w:val="0"/>
              <w:snapToGrid w:val="0"/>
              <w:spacing w:line="440" w:lineRule="exact"/>
              <w:ind w:firstLine="560" w:firstLineChars="200"/>
              <w:jc w:val="left"/>
              <w:rPr>
                <w:rFonts w:eastAsia="方正仿宋_GBK"/>
                <w:sz w:val="28"/>
              </w:rPr>
            </w:pPr>
            <w:r>
              <w:rPr>
                <w:rFonts w:hint="eastAsia" w:eastAsia="方正仿宋_GBK"/>
                <w:sz w:val="28"/>
              </w:rPr>
              <w:t>预制楼盖免支撑是指梁和板匹配预制形成连续的预制楼盖，预制梁作为预制板的临时支座，预制主梁作为预制次梁的临时支座，预制楼盖区域仅需在预制梁与柱（墙）节点位置设置支撑的建造方式，悬挑受力的预制构件除外。</w:t>
            </w:r>
          </w:p>
          <w:p>
            <w:pPr>
              <w:adjustRightInd w:val="0"/>
              <w:snapToGrid w:val="0"/>
              <w:spacing w:line="440" w:lineRule="exact"/>
              <w:ind w:firstLine="560" w:firstLineChars="200"/>
              <w:jc w:val="left"/>
              <w:rPr>
                <w:rFonts w:eastAsia="方正仿宋_GBK"/>
                <w:sz w:val="28"/>
              </w:rPr>
            </w:pPr>
            <w:r>
              <w:rPr>
                <w:rFonts w:hint="eastAsia" w:eastAsia="方正仿宋_GBK"/>
                <w:sz w:val="28"/>
                <w:szCs w:val="36"/>
              </w:rPr>
              <w:t>要求单体建筑预制楼盖区域全部采用</w:t>
            </w:r>
            <w:r>
              <w:rPr>
                <w:rFonts w:hint="eastAsia" w:eastAsia="方正仿宋_GBK"/>
                <w:sz w:val="28"/>
              </w:rPr>
              <w:t>，预制板和预制梁应用比例均须满足计算项目最低指标要求。</w:t>
            </w:r>
          </w:p>
        </w:tc>
      </w:tr>
    </w:tbl>
    <w:p>
      <w:pPr>
        <w:adjustRightInd w:val="0"/>
        <w:snapToGrid w:val="0"/>
        <w:spacing w:line="500" w:lineRule="exact"/>
        <w:ind w:firstLine="640" w:firstLineChars="200"/>
        <w:rPr>
          <w:rFonts w:eastAsia="方正仿宋_GBK"/>
        </w:rPr>
      </w:pPr>
      <w:r>
        <w:rPr>
          <w:rFonts w:hint="eastAsia" w:eastAsia="方正楷体_GBK"/>
        </w:rPr>
        <w:t>（三）围护墙和内隔墙计算规定</w:t>
      </w:r>
    </w:p>
    <w:p>
      <w:pPr>
        <w:numPr>
          <w:ilvl w:val="255"/>
          <w:numId w:val="0"/>
        </w:numPr>
        <w:adjustRightInd w:val="0"/>
        <w:snapToGrid w:val="0"/>
        <w:spacing w:line="500" w:lineRule="exact"/>
        <w:ind w:firstLine="640" w:firstLineChars="200"/>
        <w:rPr>
          <w:rFonts w:eastAsia="方正仿宋_GBK"/>
        </w:rPr>
      </w:pPr>
      <w:r>
        <w:rPr>
          <w:rFonts w:eastAsia="方正仿宋_GBK"/>
        </w:rPr>
        <w:t>1</w:t>
      </w:r>
      <w:r>
        <w:rPr>
          <w:rFonts w:hint="eastAsia" w:eastAsia="方正仿宋_GBK"/>
        </w:rPr>
        <w:t>．装配式非承重围护墙的应用比例按下式计算：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3a</w:t>
      </w:r>
      <w:r>
        <w:rPr>
          <w:rFonts w:eastAsia="方正仿宋_GBK"/>
          <w:i/>
          <w:iCs/>
        </w:rPr>
        <w:t>=L</w:t>
      </w:r>
      <w:r>
        <w:rPr>
          <w:rFonts w:eastAsia="方正仿宋_GBK"/>
          <w:vertAlign w:val="subscript"/>
        </w:rPr>
        <w:t>3a</w:t>
      </w:r>
      <w:r>
        <w:rPr>
          <w:rFonts w:eastAsia="方正仿宋_GBK"/>
          <w:i/>
          <w:iCs/>
        </w:rPr>
        <w:t>/L</w:t>
      </w:r>
      <w:r>
        <w:rPr>
          <w:rFonts w:eastAsia="方正仿宋_GBK"/>
          <w:vertAlign w:val="subscript"/>
        </w:rPr>
        <w:t>w</w:t>
      </w:r>
      <w:r>
        <w:rPr>
          <w:rFonts w:eastAsia="方正仿宋_GBK"/>
        </w:rPr>
        <w:t>×100%</w:t>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3a</w:t>
      </w:r>
      <w:r>
        <w:rPr>
          <w:rFonts w:hint="eastAsia" w:eastAsia="方正仿宋_GBK"/>
        </w:rPr>
        <w:t>──装配式非承重围护墙的应用比例；</w:t>
      </w:r>
    </w:p>
    <w:p>
      <w:pPr>
        <w:adjustRightInd w:val="0"/>
        <w:snapToGrid w:val="0"/>
        <w:spacing w:line="500" w:lineRule="exact"/>
        <w:ind w:firstLine="1600" w:firstLineChars="500"/>
        <w:rPr>
          <w:rFonts w:eastAsia="方正仿宋_GBK"/>
        </w:rPr>
      </w:pPr>
      <w:r>
        <w:rPr>
          <w:rFonts w:eastAsia="方正仿宋_GBK"/>
          <w:i/>
          <w:iCs/>
        </w:rPr>
        <w:t>L</w:t>
      </w:r>
      <w:r>
        <w:rPr>
          <w:rFonts w:eastAsia="方正仿宋_GBK"/>
          <w:vertAlign w:val="subscript"/>
        </w:rPr>
        <w:t>3a</w:t>
      </w:r>
      <w:r>
        <w:rPr>
          <w:rFonts w:hint="eastAsia" w:eastAsia="方正仿宋_GBK"/>
        </w:rPr>
        <w:t>──各楼层装配式围护墙中心线长度之和；</w:t>
      </w:r>
    </w:p>
    <w:p>
      <w:pPr>
        <w:adjustRightInd w:val="0"/>
        <w:snapToGrid w:val="0"/>
        <w:spacing w:line="500" w:lineRule="exact"/>
        <w:ind w:firstLine="1600" w:firstLineChars="500"/>
        <w:rPr>
          <w:rFonts w:eastAsia="方正仿宋_GBK"/>
        </w:rPr>
      </w:pPr>
      <w:r>
        <w:rPr>
          <w:rFonts w:eastAsia="方正仿宋_GBK"/>
          <w:i/>
          <w:iCs/>
        </w:rPr>
        <w:t>L</w:t>
      </w:r>
      <w:r>
        <w:rPr>
          <w:rFonts w:eastAsia="方正仿宋_GBK"/>
          <w:vertAlign w:val="subscript"/>
        </w:rPr>
        <w:t>w</w:t>
      </w:r>
      <w:r>
        <w:rPr>
          <w:rFonts w:hint="eastAsia" w:eastAsia="方正仿宋_GBK"/>
        </w:rPr>
        <w:t>──各楼层非承重围护墙中心线总长度。</w:t>
      </w:r>
    </w:p>
    <w:p>
      <w:pPr>
        <w:pStyle w:val="2"/>
        <w:spacing w:after="0" w:line="500" w:lineRule="exact"/>
        <w:ind w:firstLine="640" w:firstLineChars="200"/>
        <w:rPr>
          <w:rFonts w:eastAsia="方正仿宋_GBK"/>
          <w:highlight w:val="yellow"/>
        </w:rPr>
      </w:pPr>
      <w:r>
        <w:rPr>
          <w:rFonts w:hint="eastAsia" w:eastAsia="方正仿宋_GBK"/>
        </w:rPr>
        <w:t>装配式非承重围护墙包括采用预制混凝土（叠合）墙板、轻质条板、复合墙板、幕墙等装配式围护结构的外墙。</w:t>
      </w:r>
    </w:p>
    <w:p>
      <w:pPr>
        <w:pStyle w:val="2"/>
        <w:keepNext w:val="0"/>
        <w:keepLines w:val="0"/>
        <w:pageBreakBefore w:val="0"/>
        <w:widowControl w:val="0"/>
        <w:shd w:val="clear"/>
        <w:kinsoku/>
        <w:wordWrap/>
        <w:overflowPunct/>
        <w:topLinePunct w:val="0"/>
        <w:autoSpaceDE/>
        <w:autoSpaceDN/>
        <w:bidi w:val="0"/>
        <w:adjustRightInd w:val="0"/>
        <w:snapToGrid w:val="0"/>
        <w:spacing w:line="500" w:lineRule="exact"/>
        <w:ind w:firstLine="640" w:firstLineChars="200"/>
        <w:textAlignment w:val="auto"/>
        <w:rPr>
          <w:rFonts w:hint="default" w:eastAsia="方正仿宋_GBK"/>
          <w:color w:val="auto"/>
          <w:highlight w:val="none"/>
          <w:lang w:val="en-US" w:eastAsia="zh-CN"/>
        </w:rPr>
      </w:pPr>
      <w:r>
        <w:rPr>
          <w:rFonts w:hint="eastAsia" w:eastAsia="方正仿宋_GBK"/>
          <w:color w:val="auto"/>
          <w:highlight w:val="none"/>
          <w:lang w:val="en-US" w:eastAsia="zh-CN"/>
        </w:rPr>
        <w:t>围护墙</w:t>
      </w:r>
      <w:r>
        <w:rPr>
          <w:rFonts w:hint="default" w:eastAsia="方正仿宋_GBK"/>
          <w:color w:val="auto"/>
          <w:highlight w:val="none"/>
          <w:lang w:val="en-US" w:eastAsia="zh-CN"/>
        </w:rPr>
        <w:t>采用</w:t>
      </w:r>
      <w:r>
        <w:rPr>
          <w:rFonts w:hint="eastAsia" w:eastAsia="方正仿宋_GBK"/>
          <w:color w:val="auto"/>
          <w:highlight w:val="none"/>
          <w:lang w:val="en-US" w:eastAsia="zh-CN"/>
        </w:rPr>
        <w:t>标准化</w:t>
      </w:r>
      <w:r>
        <w:rPr>
          <w:rFonts w:hint="default" w:eastAsia="方正仿宋_GBK"/>
          <w:color w:val="auto"/>
          <w:highlight w:val="none"/>
          <w:lang w:val="en-US" w:eastAsia="zh-CN"/>
        </w:rPr>
        <w:t>门窗与工业化外装饰</w:t>
      </w:r>
      <w:r>
        <w:rPr>
          <w:rFonts w:hint="eastAsia" w:eastAsia="方正仿宋_GBK"/>
          <w:color w:val="auto"/>
          <w:highlight w:val="none"/>
          <w:lang w:val="en-US" w:eastAsia="zh-CN"/>
        </w:rPr>
        <w:t>系统</w:t>
      </w:r>
      <w:r>
        <w:rPr>
          <w:rFonts w:hint="default" w:eastAsia="方正仿宋_GBK"/>
          <w:color w:val="auto"/>
          <w:highlight w:val="none"/>
          <w:lang w:val="en-US" w:eastAsia="zh-CN"/>
        </w:rPr>
        <w:t>的，满足围护结构无砌筑且门窗与</w:t>
      </w:r>
      <w:r>
        <w:rPr>
          <w:rFonts w:hint="eastAsia" w:eastAsia="方正仿宋_GBK"/>
          <w:color w:val="auto"/>
          <w:highlight w:val="none"/>
          <w:lang w:val="en-US" w:eastAsia="zh-CN"/>
        </w:rPr>
        <w:t>工业化</w:t>
      </w:r>
      <w:r>
        <w:rPr>
          <w:rFonts w:hint="default" w:eastAsia="方正仿宋_GBK"/>
          <w:color w:val="auto"/>
          <w:highlight w:val="none"/>
          <w:lang w:val="en-US" w:eastAsia="zh-CN"/>
        </w:rPr>
        <w:t>装饰面</w:t>
      </w:r>
      <w:r>
        <w:rPr>
          <w:rFonts w:hint="eastAsia" w:eastAsia="方正仿宋_GBK"/>
          <w:color w:val="auto"/>
          <w:highlight w:val="none"/>
          <w:lang w:val="en-US" w:eastAsia="zh-CN"/>
        </w:rPr>
        <w:t>（龙骨干挂装饰板）</w:t>
      </w:r>
      <w:r>
        <w:rPr>
          <w:rFonts w:hint="default" w:eastAsia="方正仿宋_GBK"/>
          <w:color w:val="auto"/>
          <w:highlight w:val="none"/>
          <w:lang w:val="en-US" w:eastAsia="zh-CN"/>
        </w:rPr>
        <w:t>总高度不小于层高的90%时，可计入装配式围护墙</w:t>
      </w:r>
      <w:r>
        <w:rPr>
          <w:rFonts w:hint="default" w:eastAsia="方正仿宋_GBK"/>
          <w:i/>
          <w:iCs/>
          <w:color w:val="auto"/>
          <w:highlight w:val="none"/>
          <w:lang w:val="en-US" w:eastAsia="zh-CN"/>
        </w:rPr>
        <w:t>L</w:t>
      </w:r>
      <w:r>
        <w:rPr>
          <w:rFonts w:hint="default" w:eastAsia="方正仿宋_GBK"/>
          <w:color w:val="auto"/>
          <w:highlight w:val="none"/>
          <w:vertAlign w:val="subscript"/>
          <w:lang w:val="en-US" w:eastAsia="zh-CN"/>
        </w:rPr>
        <w:t>3a</w:t>
      </w:r>
      <w:r>
        <w:rPr>
          <w:rFonts w:hint="default" w:eastAsia="方正仿宋_GBK"/>
          <w:color w:val="auto"/>
          <w:highlight w:val="none"/>
          <w:lang w:val="en-US" w:eastAsia="zh-CN"/>
        </w:rPr>
        <w:t>中。</w:t>
      </w:r>
    </w:p>
    <w:p>
      <w:pPr>
        <w:pStyle w:val="2"/>
        <w:spacing w:after="0" w:line="500" w:lineRule="exact"/>
        <w:ind w:firstLine="640" w:firstLineChars="200"/>
        <w:rPr>
          <w:rFonts w:eastAsia="方正仿宋_GBK"/>
        </w:rPr>
      </w:pPr>
      <w:r>
        <w:rPr>
          <w:rFonts w:hint="eastAsia" w:eastAsia="方正仿宋_GBK"/>
        </w:rPr>
        <w:t>居住建筑承重围护墙中的预制混凝土剪力墙（按</w:t>
      </w:r>
      <w:r>
        <w:rPr>
          <w:rFonts w:hint="eastAsia" w:eastAsia="方正仿宋_GBK"/>
          <w:lang w:val="en-US" w:eastAsia="zh-CN"/>
        </w:rPr>
        <w:t>预制</w:t>
      </w:r>
      <w:r>
        <w:rPr>
          <w:rFonts w:hint="eastAsia" w:eastAsia="方正仿宋_GBK"/>
        </w:rPr>
        <w:t>构件外轮廓几何体</w:t>
      </w:r>
      <w:r>
        <w:rPr>
          <w:rFonts w:hint="eastAsia" w:eastAsia="方正仿宋_GBK"/>
          <w:lang w:val="en-US" w:eastAsia="zh-CN"/>
        </w:rPr>
        <w:t>长度</w:t>
      </w:r>
      <w:r>
        <w:rPr>
          <w:rFonts w:hint="eastAsia" w:eastAsia="方正仿宋_GBK"/>
        </w:rPr>
        <w:t>计算）可同时计入装配式围护墙</w:t>
      </w:r>
      <w:r>
        <w:rPr>
          <w:rFonts w:eastAsia="方正仿宋_GBK"/>
          <w:i/>
          <w:iCs/>
        </w:rPr>
        <w:t>L</w:t>
      </w:r>
      <w:r>
        <w:rPr>
          <w:rFonts w:eastAsia="方正仿宋_GBK"/>
          <w:vertAlign w:val="subscript"/>
        </w:rPr>
        <w:t>3a</w:t>
      </w:r>
      <w:r>
        <w:rPr>
          <w:rFonts w:hint="eastAsia" w:eastAsia="方正仿宋_GBK"/>
        </w:rPr>
        <w:t>和</w:t>
      </w:r>
      <w:r>
        <w:rPr>
          <w:rFonts w:eastAsia="方正仿宋_GBK"/>
          <w:i/>
          <w:iCs/>
        </w:rPr>
        <w:t>L</w:t>
      </w:r>
      <w:r>
        <w:rPr>
          <w:rFonts w:eastAsia="方正仿宋_GBK"/>
          <w:vertAlign w:val="subscript"/>
        </w:rPr>
        <w:t>w</w:t>
      </w:r>
      <w:r>
        <w:rPr>
          <w:rFonts w:hint="eastAsia" w:eastAsia="方正仿宋_GBK"/>
        </w:rPr>
        <w:t>中。</w:t>
      </w:r>
    </w:p>
    <w:p>
      <w:pPr>
        <w:adjustRightInd w:val="0"/>
        <w:snapToGrid w:val="0"/>
        <w:spacing w:line="500" w:lineRule="exact"/>
        <w:ind w:firstLine="640" w:firstLineChars="200"/>
        <w:rPr>
          <w:rFonts w:eastAsia="方正仿宋_GBK"/>
        </w:rPr>
      </w:pPr>
      <w:r>
        <w:rPr>
          <w:rFonts w:eastAsia="方正仿宋_GBK"/>
        </w:rPr>
        <w:t>2</w:t>
      </w:r>
      <w:r>
        <w:rPr>
          <w:rFonts w:hint="eastAsia" w:eastAsia="方正仿宋_GBK"/>
        </w:rPr>
        <w:t>．装配式围护墙与保温一体化得分规定</w:t>
      </w:r>
    </w:p>
    <w:p>
      <w:pPr>
        <w:adjustRightInd w:val="0"/>
        <w:snapToGrid w:val="0"/>
        <w:spacing w:line="500" w:lineRule="exact"/>
        <w:ind w:firstLine="640" w:firstLineChars="200"/>
        <w:rPr>
          <w:rFonts w:eastAsia="方正仿宋_GBK"/>
        </w:rPr>
      </w:pPr>
      <w:r>
        <w:rPr>
          <w:rFonts w:hint="eastAsia" w:eastAsia="方正仿宋_GBK"/>
        </w:rPr>
        <w:t>装配式围护墙与保温一体化是指装配式外墙部品全部在工厂完成保温一体化复合生产，现场干法装配的工艺技术，其装配式围护墙应用比例须满足最低指标要求。</w:t>
      </w:r>
    </w:p>
    <w:p>
      <w:pPr>
        <w:pStyle w:val="2"/>
        <w:spacing w:after="0" w:line="500" w:lineRule="exact"/>
      </w:pPr>
      <w:r>
        <w:rPr>
          <w:rFonts w:eastAsia="方正仿宋_GBK"/>
        </w:rPr>
        <w:t xml:space="preserve">    </w:t>
      </w:r>
      <w:r>
        <w:rPr>
          <w:rFonts w:hint="eastAsia" w:eastAsia="方正仿宋_GBK"/>
        </w:rPr>
        <w:t>装配式围护墙与保温一体化包括采用装配式自保温墙板、预制夹芯保温墙板、内保温复合墙板等围护墙</w:t>
      </w:r>
      <w:r>
        <w:rPr>
          <w:rFonts w:hint="eastAsia" w:eastAsia="方正仿宋_GBK"/>
          <w:lang w:val="en-US" w:eastAsia="zh-CN"/>
        </w:rPr>
        <w:t>技术</w:t>
      </w:r>
      <w:r>
        <w:rPr>
          <w:rFonts w:hint="eastAsia" w:eastAsia="方正仿宋_GBK"/>
        </w:rPr>
        <w:t>。</w:t>
      </w:r>
    </w:p>
    <w:p>
      <w:pPr>
        <w:adjustRightInd w:val="0"/>
        <w:snapToGrid w:val="0"/>
        <w:spacing w:line="500" w:lineRule="exact"/>
        <w:ind w:firstLine="640" w:firstLineChars="200"/>
        <w:rPr>
          <w:rFonts w:eastAsia="方正仿宋_GBK"/>
        </w:rPr>
      </w:pPr>
      <w:r>
        <w:rPr>
          <w:rFonts w:eastAsia="方正仿宋_GBK"/>
        </w:rPr>
        <w:t>3</w:t>
      </w:r>
      <w:r>
        <w:rPr>
          <w:rFonts w:hint="eastAsia" w:eastAsia="方正仿宋_GBK"/>
        </w:rPr>
        <w:t>．装配式围护墙与装饰一体化得分规定</w:t>
      </w:r>
    </w:p>
    <w:p>
      <w:pPr>
        <w:adjustRightInd w:val="0"/>
        <w:snapToGrid w:val="0"/>
        <w:spacing w:line="500" w:lineRule="exact"/>
        <w:ind w:firstLine="640" w:firstLineChars="200"/>
        <w:rPr>
          <w:rFonts w:eastAsia="方正仿宋_GBK"/>
        </w:rPr>
      </w:pPr>
      <w:r>
        <w:rPr>
          <w:rFonts w:hint="eastAsia" w:eastAsia="方正仿宋_GBK"/>
        </w:rPr>
        <w:t>装配式围护墙与装饰一体化是指装配式外墙部品全部在工厂完成外装饰一体化复合生产，现场干法装配的工艺技术，其装配式围护墙应用比例须满足最低指标要求。</w:t>
      </w:r>
    </w:p>
    <w:p>
      <w:pPr>
        <w:adjustRightInd w:val="0"/>
        <w:snapToGrid w:val="0"/>
        <w:spacing w:line="500" w:lineRule="exact"/>
        <w:ind w:firstLine="640" w:firstLineChars="200"/>
        <w:rPr>
          <w:rFonts w:eastAsia="方正仿宋_GBK"/>
        </w:rPr>
      </w:pPr>
      <w:r>
        <w:rPr>
          <w:rFonts w:hint="eastAsia" w:eastAsia="方正仿宋_GBK"/>
        </w:rPr>
        <w:t>当非承重围护墙采用装配式围护结构，且外饰面全部采用龙骨干挂</w:t>
      </w:r>
      <w:r>
        <w:rPr>
          <w:rFonts w:hint="eastAsia" w:eastAsia="方正仿宋_GBK"/>
          <w:lang w:eastAsia="zh-CN"/>
        </w:rPr>
        <w:t>（</w:t>
      </w:r>
      <w:r>
        <w:rPr>
          <w:rFonts w:hint="eastAsia" w:eastAsia="方正仿宋_GBK"/>
        </w:rPr>
        <w:t>保温</w:t>
      </w:r>
      <w:r>
        <w:rPr>
          <w:rFonts w:hint="eastAsia" w:eastAsia="方正仿宋_GBK"/>
          <w:lang w:eastAsia="zh-CN"/>
        </w:rPr>
        <w:t>）</w:t>
      </w:r>
      <w:r>
        <w:rPr>
          <w:rFonts w:hint="eastAsia" w:eastAsia="方正仿宋_GBK"/>
        </w:rPr>
        <w:t>装饰一体板时，可认定为装配式围护墙与</w:t>
      </w:r>
      <w:r>
        <w:rPr>
          <w:rFonts w:hint="eastAsia" w:eastAsia="方正仿宋_GBK"/>
          <w:lang w:eastAsia="zh-CN"/>
        </w:rPr>
        <w:t>（</w:t>
      </w:r>
      <w:r>
        <w:rPr>
          <w:rFonts w:hint="eastAsia" w:eastAsia="方正仿宋_GBK"/>
        </w:rPr>
        <w:t>保温</w:t>
      </w:r>
      <w:r>
        <w:rPr>
          <w:rFonts w:hint="eastAsia" w:eastAsia="方正仿宋_GBK"/>
          <w:lang w:eastAsia="zh-CN"/>
        </w:rPr>
        <w:t>）</w:t>
      </w:r>
      <w:r>
        <w:rPr>
          <w:rFonts w:hint="eastAsia" w:eastAsia="方正仿宋_GBK"/>
        </w:rPr>
        <w:t>装饰一体化。</w:t>
      </w:r>
    </w:p>
    <w:p>
      <w:pPr>
        <w:adjustRightInd w:val="0"/>
        <w:snapToGrid w:val="0"/>
        <w:spacing w:line="500" w:lineRule="exact"/>
        <w:ind w:firstLine="640" w:firstLineChars="200"/>
        <w:rPr>
          <w:rFonts w:eastAsia="方正仿宋_GBK"/>
        </w:rPr>
      </w:pPr>
      <w:r>
        <w:rPr>
          <w:rFonts w:eastAsia="方正仿宋_GBK"/>
        </w:rPr>
        <w:t>4</w:t>
      </w:r>
      <w:r>
        <w:rPr>
          <w:rFonts w:hint="eastAsia" w:eastAsia="方正仿宋_GBK"/>
        </w:rPr>
        <w:t>．装配式非承重内隔墙的应用比例按下式计算：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3d</w:t>
      </w:r>
      <w:r>
        <w:rPr>
          <w:rFonts w:eastAsia="方正仿宋_GBK"/>
          <w:i/>
          <w:iCs/>
        </w:rPr>
        <w:t>=L</w:t>
      </w:r>
      <w:r>
        <w:rPr>
          <w:rFonts w:eastAsia="方正仿宋_GBK"/>
          <w:vertAlign w:val="subscript"/>
        </w:rPr>
        <w:t>3d</w:t>
      </w:r>
      <w:r>
        <w:rPr>
          <w:rFonts w:eastAsia="方正仿宋_GBK"/>
          <w:i/>
          <w:iCs/>
        </w:rPr>
        <w:t>/L</w:t>
      </w:r>
      <w:r>
        <w:rPr>
          <w:rFonts w:eastAsia="方正仿宋_GBK"/>
          <w:vertAlign w:val="subscript"/>
        </w:rPr>
        <w:t>n</w:t>
      </w:r>
      <w:r>
        <w:rPr>
          <w:rFonts w:eastAsia="方正仿宋_GBK"/>
        </w:rPr>
        <w:t>×100%</w:t>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3d</w:t>
      </w:r>
      <w:r>
        <w:rPr>
          <w:rFonts w:hint="eastAsia" w:eastAsia="方正仿宋_GBK"/>
        </w:rPr>
        <w:t>──装配式内隔墙的应用比例；</w:t>
      </w:r>
    </w:p>
    <w:p>
      <w:pPr>
        <w:adjustRightInd w:val="0"/>
        <w:snapToGrid w:val="0"/>
        <w:spacing w:line="500" w:lineRule="exact"/>
        <w:ind w:firstLine="1600" w:firstLineChars="500"/>
        <w:rPr>
          <w:rFonts w:eastAsia="方正仿宋_GBK"/>
        </w:rPr>
      </w:pPr>
      <w:r>
        <w:rPr>
          <w:rFonts w:eastAsia="方正仿宋_GBK"/>
          <w:i/>
          <w:iCs/>
        </w:rPr>
        <w:t>L</w:t>
      </w:r>
      <w:r>
        <w:rPr>
          <w:rFonts w:eastAsia="方正仿宋_GBK"/>
          <w:vertAlign w:val="subscript"/>
        </w:rPr>
        <w:t>3d</w:t>
      </w:r>
      <w:r>
        <w:rPr>
          <w:rFonts w:hint="eastAsia" w:eastAsia="方正仿宋_GBK"/>
        </w:rPr>
        <w:t>──各楼层装配式非承重内隔墙中心线长度之和，不扣除门、窗及预留洞口所占墙体的长度；</w:t>
      </w:r>
    </w:p>
    <w:p>
      <w:pPr>
        <w:adjustRightInd w:val="0"/>
        <w:snapToGrid w:val="0"/>
        <w:spacing w:line="500" w:lineRule="exact"/>
        <w:ind w:firstLine="1600" w:firstLineChars="500"/>
        <w:rPr>
          <w:rFonts w:eastAsia="方正仿宋_GBK"/>
        </w:rPr>
      </w:pPr>
      <w:r>
        <w:rPr>
          <w:rFonts w:eastAsia="方正仿宋_GBK"/>
          <w:i/>
          <w:iCs/>
        </w:rPr>
        <w:t>L</w:t>
      </w:r>
      <w:r>
        <w:rPr>
          <w:rFonts w:eastAsia="方正仿宋_GBK"/>
          <w:vertAlign w:val="subscript"/>
        </w:rPr>
        <w:t>n</w:t>
      </w:r>
      <w:r>
        <w:rPr>
          <w:rFonts w:hint="eastAsia" w:eastAsia="方正仿宋_GBK"/>
        </w:rPr>
        <w:t>──各楼层非承重内隔墙中心线</w:t>
      </w:r>
      <w:r>
        <w:rPr>
          <w:rFonts w:hint="eastAsia" w:eastAsia="方正仿宋_GBK"/>
          <w:lang w:val="en-US" w:eastAsia="zh-CN"/>
        </w:rPr>
        <w:t>总</w:t>
      </w:r>
      <w:r>
        <w:rPr>
          <w:rFonts w:hint="eastAsia" w:eastAsia="方正仿宋_GBK"/>
        </w:rPr>
        <w:t>长度，不扣除门、窗及预留洞口所占墙体的长度。</w:t>
      </w:r>
    </w:p>
    <w:p>
      <w:pPr>
        <w:adjustRightInd w:val="0"/>
        <w:snapToGrid w:val="0"/>
        <w:spacing w:line="500" w:lineRule="exact"/>
        <w:ind w:firstLine="640" w:firstLineChars="200"/>
        <w:rPr>
          <w:rFonts w:eastAsia="方正仿宋_GBK"/>
        </w:rPr>
      </w:pPr>
      <w:r>
        <w:rPr>
          <w:rFonts w:hint="eastAsia" w:eastAsia="方正仿宋_GBK"/>
        </w:rPr>
        <w:t>装配式内隔墙包括装配式大板隔墙、装配式条板隔墙、龙骨类隔墙、玻璃隔断等。非承重内隔墙不包含活动隔断和半高墙体。</w:t>
      </w:r>
    </w:p>
    <w:p>
      <w:pPr>
        <w:pStyle w:val="2"/>
        <w:spacing w:after="0" w:line="500" w:lineRule="exact"/>
        <w:ind w:firstLine="640"/>
        <w:rPr>
          <w:rFonts w:eastAsia="方正仿宋_GBK"/>
        </w:rPr>
      </w:pPr>
      <w:r>
        <w:rPr>
          <w:rFonts w:hint="eastAsia" w:eastAsia="方正楷体_GBK"/>
        </w:rPr>
        <w:t>（四）装修和设备管线计算规定</w:t>
      </w:r>
    </w:p>
    <w:p>
      <w:pPr>
        <w:adjustRightInd w:val="0"/>
        <w:snapToGrid w:val="0"/>
        <w:spacing w:line="500" w:lineRule="exact"/>
        <w:ind w:firstLine="640" w:firstLineChars="200"/>
        <w:rPr>
          <w:rFonts w:eastAsia="方正仿宋_GBK"/>
        </w:rPr>
      </w:pPr>
      <w:r>
        <w:rPr>
          <w:rFonts w:eastAsia="方正仿宋_GBK"/>
        </w:rPr>
        <w:t>1</w:t>
      </w:r>
      <w:r>
        <w:rPr>
          <w:rFonts w:hint="eastAsia" w:eastAsia="方正仿宋_GBK"/>
        </w:rPr>
        <w:t>．装修系统计算项目</w:t>
      </w:r>
      <w:r>
        <w:rPr>
          <w:rFonts w:eastAsia="方正仿宋_GBK"/>
          <w:i/>
          <w:iCs/>
        </w:rPr>
        <w:t>q</w:t>
      </w:r>
      <w:r>
        <w:rPr>
          <w:rFonts w:eastAsia="方正仿宋_GBK"/>
          <w:vertAlign w:val="subscript"/>
        </w:rPr>
        <w:t>4a</w:t>
      </w:r>
      <w:r>
        <w:rPr>
          <w:rFonts w:hint="eastAsia" w:eastAsia="方正仿宋_GBK"/>
        </w:rPr>
        <w:t>满足下列要求可得相应分值</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34" w:type="dxa"/>
            <w:tcBorders>
              <w:left w:val="nil"/>
              <w:right w:val="single" w:color="auto" w:sz="4" w:space="0"/>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细分类型</w:t>
            </w:r>
          </w:p>
        </w:tc>
        <w:tc>
          <w:tcPr>
            <w:tcW w:w="7601" w:type="dxa"/>
            <w:tcBorders>
              <w:left w:val="single" w:color="auto" w:sz="4" w:space="0"/>
              <w:right w:val="nil"/>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34" w:type="dxa"/>
            <w:tcBorders>
              <w:left w:val="nil"/>
              <w:right w:val="single" w:color="auto" w:sz="4" w:space="0"/>
            </w:tcBorders>
            <w:vAlign w:val="center"/>
          </w:tcPr>
          <w:p>
            <w:pPr>
              <w:adjustRightInd w:val="0"/>
              <w:snapToGrid w:val="0"/>
              <w:spacing w:line="440" w:lineRule="exact"/>
              <w:jc w:val="center"/>
              <w:rPr>
                <w:sz w:val="28"/>
                <w:szCs w:val="28"/>
              </w:rPr>
            </w:pPr>
            <w:r>
              <w:rPr>
                <w:rFonts w:hint="eastAsia" w:eastAsia="方正仿宋_GBK"/>
                <w:sz w:val="28"/>
                <w:szCs w:val="28"/>
              </w:rPr>
              <w:t>全装修</w:t>
            </w:r>
          </w:p>
        </w:tc>
        <w:tc>
          <w:tcPr>
            <w:tcW w:w="7601" w:type="dxa"/>
            <w:tcBorders>
              <w:left w:val="single" w:color="auto" w:sz="4" w:space="0"/>
              <w:right w:val="nil"/>
            </w:tcBorders>
            <w:vAlign w:val="center"/>
          </w:tcPr>
          <w:p>
            <w:pPr>
              <w:adjustRightInd w:val="0"/>
              <w:snapToGrid w:val="0"/>
              <w:spacing w:line="440" w:lineRule="exact"/>
              <w:ind w:firstLine="560" w:firstLineChars="200"/>
              <w:jc w:val="left"/>
              <w:rPr>
                <w:rFonts w:eastAsia="方正仿宋_GBK"/>
                <w:sz w:val="28"/>
                <w:szCs w:val="28"/>
              </w:rPr>
            </w:pPr>
            <w:r>
              <w:rPr>
                <w:rFonts w:hint="eastAsia" w:eastAsia="方正仿宋_GBK"/>
                <w:sz w:val="28"/>
                <w:szCs w:val="28"/>
              </w:rPr>
              <w:t>全装修是指建筑功能空间的固定面装修和设施设备安装全部完成，达到建筑使用功能和性能的基本要求。（具体指室内顶面、地面、固定墙面装饰完成，设备管线和其他与防火、防水、防潮、防腐、隔声、隔振等建筑性能相关的功能性材料及其连接材料安装到位，固定家具、开关插座及厨房、卫生间基本设施设备安装到位。）</w:t>
            </w:r>
          </w:p>
          <w:p>
            <w:pPr>
              <w:adjustRightInd w:val="0"/>
              <w:snapToGrid w:val="0"/>
              <w:spacing w:line="440" w:lineRule="exact"/>
              <w:ind w:firstLine="560" w:firstLineChars="200"/>
              <w:jc w:val="left"/>
              <w:rPr>
                <w:sz w:val="28"/>
                <w:szCs w:val="28"/>
              </w:rPr>
            </w:pPr>
            <w:r>
              <w:rPr>
                <w:rFonts w:hint="eastAsia" w:eastAsia="方正仿宋_GBK"/>
                <w:sz w:val="28"/>
                <w:szCs w:val="28"/>
              </w:rPr>
              <w:t>工业建筑的生产车间不作全装修要求。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34" w:type="dxa"/>
            <w:tcBorders>
              <w:left w:val="nil"/>
              <w:right w:val="single" w:color="auto" w:sz="4" w:space="0"/>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公区工业化装修</w:t>
            </w:r>
          </w:p>
        </w:tc>
        <w:tc>
          <w:tcPr>
            <w:tcW w:w="7601" w:type="dxa"/>
            <w:tcBorders>
              <w:left w:val="single" w:color="auto" w:sz="4" w:space="0"/>
              <w:right w:val="nil"/>
            </w:tcBorders>
            <w:vAlign w:val="center"/>
          </w:tcPr>
          <w:p>
            <w:pPr>
              <w:adjustRightInd w:val="0"/>
              <w:snapToGrid w:val="0"/>
              <w:spacing w:line="440" w:lineRule="exact"/>
              <w:ind w:firstLine="560" w:firstLineChars="200"/>
              <w:jc w:val="left"/>
              <w:rPr>
                <w:rFonts w:eastAsia="方正仿宋_GBK"/>
                <w:sz w:val="28"/>
                <w:szCs w:val="28"/>
              </w:rPr>
            </w:pPr>
            <w:r>
              <w:rPr>
                <w:rFonts w:hint="eastAsia" w:eastAsia="方正仿宋_GBK"/>
                <w:sz w:val="28"/>
                <w:szCs w:val="28"/>
              </w:rPr>
              <w:t>公区工业化装修要求建筑公共区域的顶面和墙面全部采用工业化装修，地面完成装修，设施设备安装到位。建筑公共区域包括大堂及与之联通的活动空间、公共门厅、走廊、过道、电梯前厅等部位。工业化装修是将工厂化生产的部品，以干式工法为主进行施工安装的装修方</w:t>
            </w:r>
            <w:r>
              <w:rPr>
                <w:rFonts w:hint="eastAsia" w:eastAsia="方正仿宋_GBK"/>
                <w:sz w:val="28"/>
                <w:szCs w:val="28"/>
                <w:highlight w:val="none"/>
              </w:rPr>
              <w:t>式，公区工业化装修的墙面要求采用龙骨干挂墙砖或石材类饰面材料。楼梯</w:t>
            </w:r>
            <w:r>
              <w:rPr>
                <w:rFonts w:hint="eastAsia" w:eastAsia="方正仿宋_GBK"/>
                <w:sz w:val="28"/>
                <w:szCs w:val="28"/>
              </w:rPr>
              <w:t>间可采用非工业化装修方式。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534" w:type="dxa"/>
            <w:tcBorders>
              <w:left w:val="nil"/>
              <w:right w:val="single" w:color="auto" w:sz="4" w:space="0"/>
            </w:tcBorders>
            <w:vAlign w:val="center"/>
          </w:tcPr>
          <w:p>
            <w:pPr>
              <w:adjustRightInd w:val="0"/>
              <w:snapToGrid w:val="0"/>
              <w:spacing w:line="440" w:lineRule="exact"/>
              <w:rPr>
                <w:rFonts w:eastAsia="方正仿宋_GBK"/>
                <w:sz w:val="28"/>
                <w:szCs w:val="28"/>
              </w:rPr>
            </w:pPr>
            <w:r>
              <w:rPr>
                <w:rFonts w:hint="eastAsia" w:eastAsia="方正仿宋_GBK"/>
                <w:sz w:val="28"/>
                <w:szCs w:val="28"/>
              </w:rPr>
              <w:t>确定使用功能的区域装修</w:t>
            </w:r>
          </w:p>
        </w:tc>
        <w:tc>
          <w:tcPr>
            <w:tcW w:w="7601" w:type="dxa"/>
            <w:tcBorders>
              <w:left w:val="single" w:color="auto" w:sz="4" w:space="0"/>
              <w:right w:val="nil"/>
            </w:tcBorders>
            <w:vAlign w:val="center"/>
          </w:tcPr>
          <w:p>
            <w:pPr>
              <w:adjustRightInd w:val="0"/>
              <w:snapToGrid w:val="0"/>
              <w:spacing w:line="440" w:lineRule="exact"/>
              <w:ind w:firstLine="560" w:firstLineChars="200"/>
              <w:jc w:val="left"/>
              <w:rPr>
                <w:rFonts w:eastAsia="方正仿宋_GBK"/>
                <w:sz w:val="28"/>
                <w:szCs w:val="28"/>
              </w:rPr>
            </w:pPr>
            <w:r>
              <w:rPr>
                <w:rFonts w:hint="eastAsia" w:eastAsia="方正仿宋_GBK"/>
                <w:sz w:val="28"/>
                <w:szCs w:val="28"/>
              </w:rPr>
              <w:t>确定使用功能的区域是指公共建筑或工业建筑非生产区域中，除有产权可出租（或出售）区域以外的全部范围。其装修要求同全装修。</w:t>
            </w:r>
          </w:p>
        </w:tc>
      </w:tr>
    </w:tbl>
    <w:p>
      <w:pPr>
        <w:adjustRightInd w:val="0"/>
        <w:snapToGrid w:val="0"/>
        <w:spacing w:line="500" w:lineRule="exact"/>
        <w:ind w:firstLine="640" w:firstLineChars="200"/>
        <w:rPr>
          <w:rFonts w:eastAsia="方正仿宋_GBK"/>
        </w:rPr>
      </w:pPr>
      <w:r>
        <w:rPr>
          <w:rFonts w:eastAsia="方正仿宋_GBK"/>
        </w:rPr>
        <w:t>2</w:t>
      </w:r>
      <w:r>
        <w:rPr>
          <w:rFonts w:hint="eastAsia" w:eastAsia="方正仿宋_GBK"/>
        </w:rPr>
        <w:t>．集成厨房的应用比例按下式计算：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4b</w:t>
      </w:r>
      <w:r>
        <w:rPr>
          <w:rFonts w:eastAsia="方正仿宋_GBK"/>
          <w:i/>
          <w:iCs/>
        </w:rPr>
        <w:t>=A</w:t>
      </w:r>
      <w:r>
        <w:rPr>
          <w:rFonts w:eastAsia="方正仿宋_GBK"/>
          <w:vertAlign w:val="subscript"/>
        </w:rPr>
        <w:t>4b</w:t>
      </w:r>
      <w:r>
        <w:rPr>
          <w:rFonts w:eastAsia="方正仿宋_GBK"/>
          <w:i/>
          <w:iCs/>
        </w:rPr>
        <w:t>/A</w:t>
      </w:r>
      <w:r>
        <w:rPr>
          <w:rFonts w:eastAsia="方正仿宋_GBK"/>
          <w:vertAlign w:val="subscript"/>
        </w:rPr>
        <w:t>k</w:t>
      </w:r>
      <w:r>
        <w:rPr>
          <w:rFonts w:eastAsia="方正仿宋_GBK"/>
        </w:rPr>
        <w:t>×100%</w:t>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4b</w:t>
      </w:r>
      <w:r>
        <w:rPr>
          <w:rFonts w:hint="eastAsia" w:eastAsia="方正仿宋_GBK"/>
        </w:rPr>
        <w:t>──集成厨房的应用比例；</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4b</w:t>
      </w:r>
      <w:r>
        <w:rPr>
          <w:rFonts w:hint="eastAsia" w:eastAsia="方正仿宋_GBK"/>
        </w:rPr>
        <w:t>──各楼层厨房顶面、地面和墙面采用干式工法的面积之和</w:t>
      </w:r>
      <w:r>
        <w:rPr>
          <w:rFonts w:hint="eastAsia" w:eastAsia="方正仿宋_GBK"/>
          <w:lang w:eastAsia="zh-CN"/>
        </w:rPr>
        <w:t>，</w:t>
      </w:r>
      <w:r>
        <w:rPr>
          <w:rFonts w:hint="eastAsia" w:eastAsia="方正仿宋_GBK"/>
        </w:rPr>
        <w:t>不扣除门、窗及预留洞口的面积；</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k</w:t>
      </w:r>
      <w:r>
        <w:rPr>
          <w:rFonts w:hint="eastAsia" w:eastAsia="方正仿宋_GBK"/>
        </w:rPr>
        <w:t>──各楼层厨房顶面、地面和墙面的</w:t>
      </w:r>
      <w:r>
        <w:rPr>
          <w:rFonts w:hint="eastAsia" w:eastAsia="方正仿宋_GBK"/>
          <w:lang w:val="en-US" w:eastAsia="zh-CN"/>
        </w:rPr>
        <w:t>总</w:t>
      </w:r>
      <w:r>
        <w:rPr>
          <w:rFonts w:hint="eastAsia" w:eastAsia="方正仿宋_GBK"/>
        </w:rPr>
        <w:t>面积，按装饰完成面面积计算，不扣除门、窗及预留洞口的面积。</w:t>
      </w:r>
    </w:p>
    <w:p>
      <w:pPr>
        <w:pStyle w:val="2"/>
        <w:spacing w:after="0" w:line="500" w:lineRule="exact"/>
        <w:ind w:firstLine="640" w:firstLineChars="200"/>
      </w:pPr>
      <w:r>
        <w:rPr>
          <w:rFonts w:hint="eastAsia" w:eastAsia="方正仿宋_GBK"/>
        </w:rPr>
        <w:t>集成厨房是指顶面、地面、墙面、橱柜、厨房设备及管线等通过集成设计、工厂生产，在现场主要采用干式工法装配而成的厨房。</w:t>
      </w:r>
      <w:r>
        <w:rPr>
          <w:rFonts w:hint="eastAsia" w:eastAsia="方正仿宋_GBK"/>
          <w:highlight w:val="none"/>
        </w:rPr>
        <w:t>厨房墙面采用瓷砖薄贴现阶段可按</w:t>
      </w:r>
      <w:r>
        <w:rPr>
          <w:rFonts w:hint="eastAsia" w:eastAsia="方正仿宋_GBK"/>
          <w:highlight w:val="none"/>
          <w:lang w:val="en-US" w:eastAsia="zh-CN"/>
        </w:rPr>
        <w:t>干式工法</w:t>
      </w:r>
      <w:r>
        <w:rPr>
          <w:rFonts w:hint="eastAsia" w:eastAsia="方正仿宋_GBK"/>
          <w:highlight w:val="none"/>
        </w:rPr>
        <w:t>计算分值。集</w:t>
      </w:r>
      <w:r>
        <w:rPr>
          <w:rFonts w:hint="eastAsia" w:eastAsia="方正仿宋_GBK"/>
        </w:rPr>
        <w:t>成厨房的计算范围为使用燃气、排油烟设施或洗涤池的围合封闭空间，设置在封闭空间以外的案台区域不包含在计算范围之内。</w:t>
      </w:r>
    </w:p>
    <w:p>
      <w:pPr>
        <w:adjustRightInd w:val="0"/>
        <w:snapToGrid w:val="0"/>
        <w:spacing w:line="500" w:lineRule="exact"/>
        <w:ind w:firstLine="640" w:firstLineChars="200"/>
        <w:rPr>
          <w:rFonts w:eastAsia="方正仿宋_GBK"/>
        </w:rPr>
      </w:pPr>
      <w:r>
        <w:rPr>
          <w:rFonts w:eastAsia="方正仿宋_GBK"/>
        </w:rPr>
        <w:t>3</w:t>
      </w:r>
      <w:r>
        <w:rPr>
          <w:rFonts w:hint="eastAsia" w:eastAsia="方正仿宋_GBK"/>
        </w:rPr>
        <w:t>．集成卫生间的应用比例按下式计算：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4c</w:t>
      </w:r>
      <w:r>
        <w:rPr>
          <w:rFonts w:eastAsia="方正仿宋_GBK"/>
          <w:i/>
          <w:iCs/>
        </w:rPr>
        <w:t>=A</w:t>
      </w:r>
      <w:r>
        <w:rPr>
          <w:rFonts w:eastAsia="方正仿宋_GBK"/>
          <w:vertAlign w:val="subscript"/>
        </w:rPr>
        <w:t>4c</w:t>
      </w:r>
      <w:r>
        <w:rPr>
          <w:rFonts w:eastAsia="方正仿宋_GBK"/>
          <w:i/>
          <w:iCs/>
        </w:rPr>
        <w:t>/A</w:t>
      </w:r>
      <w:r>
        <w:rPr>
          <w:rFonts w:eastAsia="方正仿宋_GBK"/>
          <w:vertAlign w:val="subscript"/>
        </w:rPr>
        <w:t>t</w:t>
      </w:r>
      <w:r>
        <w:rPr>
          <w:rFonts w:eastAsia="方正仿宋_GBK"/>
        </w:rPr>
        <w:t>×100%</w:t>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4c</w:t>
      </w:r>
      <w:r>
        <w:rPr>
          <w:rFonts w:hint="eastAsia" w:eastAsia="方正仿宋_GBK"/>
        </w:rPr>
        <w:t>──集成卫生间干式工法的应用比例；</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4c</w:t>
      </w:r>
      <w:r>
        <w:rPr>
          <w:rFonts w:hint="eastAsia" w:eastAsia="方正仿宋_GBK"/>
        </w:rPr>
        <w:t>──各楼层卫生间顶面、地面和墙面采用干式工法的面积之和，不扣除门、窗及预留洞口的面积；</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t</w:t>
      </w:r>
      <w:r>
        <w:rPr>
          <w:rFonts w:hint="eastAsia" w:eastAsia="方正仿宋_GBK"/>
        </w:rPr>
        <w:t>──各楼层卫生间顶面、地面和墙面的</w:t>
      </w:r>
      <w:r>
        <w:rPr>
          <w:rFonts w:hint="eastAsia" w:eastAsia="方正仿宋_GBK"/>
          <w:lang w:val="en-US" w:eastAsia="zh-CN"/>
        </w:rPr>
        <w:t>总</w:t>
      </w:r>
      <w:r>
        <w:rPr>
          <w:rFonts w:hint="eastAsia" w:eastAsia="方正仿宋_GBK"/>
        </w:rPr>
        <w:t>面积，按装饰完成面面积计算，不扣除门、窗及预留洞口的面积。</w:t>
      </w:r>
    </w:p>
    <w:p>
      <w:pPr>
        <w:pStyle w:val="2"/>
        <w:spacing w:after="0" w:line="500" w:lineRule="exact"/>
        <w:ind w:firstLine="640" w:firstLineChars="200"/>
        <w:rPr>
          <w:rFonts w:eastAsia="方正仿宋_GBK"/>
        </w:rPr>
      </w:pPr>
      <w:r>
        <w:rPr>
          <w:rFonts w:hint="eastAsia" w:eastAsia="方正仿宋_GBK"/>
        </w:rPr>
        <w:t>集成卫生间是指顶面、地面、墙面、洁具设备及管线等通过集成设计、工厂生产，在现场主要采用干式工法装配而成的卫生间。</w:t>
      </w:r>
      <w:r>
        <w:rPr>
          <w:rFonts w:hint="eastAsia" w:eastAsia="方正仿宋_GBK"/>
          <w:highlight w:val="none"/>
        </w:rPr>
        <w:t>卫生间墙面采用瓷砖薄贴现阶段可按</w:t>
      </w:r>
      <w:r>
        <w:rPr>
          <w:rFonts w:hint="eastAsia" w:eastAsia="方正仿宋_GBK"/>
          <w:highlight w:val="none"/>
          <w:lang w:val="en-US" w:eastAsia="zh-CN"/>
        </w:rPr>
        <w:t>干式工法</w:t>
      </w:r>
      <w:r>
        <w:rPr>
          <w:rFonts w:hint="eastAsia" w:eastAsia="方正仿宋_GBK"/>
          <w:highlight w:val="none"/>
        </w:rPr>
        <w:t>计算分值。集</w:t>
      </w:r>
      <w:r>
        <w:rPr>
          <w:rFonts w:hint="eastAsia" w:eastAsia="方正仿宋_GBK"/>
        </w:rPr>
        <w:t>成卫生间的计算范围为使用便器和洗浴器的围合封闭空间，设置在封闭空间以外的洗面器区域不包含在计算范围之内。</w:t>
      </w:r>
    </w:p>
    <w:p>
      <w:pPr>
        <w:adjustRightInd w:val="0"/>
        <w:snapToGrid w:val="0"/>
        <w:spacing w:line="500" w:lineRule="exact"/>
        <w:ind w:firstLine="640" w:firstLineChars="200"/>
        <w:rPr>
          <w:rFonts w:eastAsia="方正仿宋_GBK"/>
        </w:rPr>
      </w:pPr>
      <w:r>
        <w:rPr>
          <w:rFonts w:eastAsia="方正仿宋_GBK"/>
        </w:rPr>
        <w:t>4</w:t>
      </w:r>
      <w:r>
        <w:rPr>
          <w:rFonts w:hint="eastAsia" w:eastAsia="方正仿宋_GBK"/>
        </w:rPr>
        <w:t>．装配式吊顶的应用比例按下式计算：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4d</w:t>
      </w:r>
      <w:r>
        <w:rPr>
          <w:rFonts w:eastAsia="方正仿宋_GBK"/>
          <w:i/>
          <w:iCs/>
        </w:rPr>
        <w:t>=A</w:t>
      </w:r>
      <w:r>
        <w:rPr>
          <w:rFonts w:eastAsia="方正仿宋_GBK"/>
          <w:vertAlign w:val="subscript"/>
        </w:rPr>
        <w:t>4d</w:t>
      </w:r>
      <w:r>
        <w:rPr>
          <w:rFonts w:eastAsia="方正仿宋_GBK"/>
          <w:i/>
          <w:iCs/>
        </w:rPr>
        <w:t>/A</w:t>
      </w:r>
      <w:r>
        <w:rPr>
          <w:rFonts w:eastAsia="方正仿宋_GBK"/>
          <w:vertAlign w:val="subscript"/>
        </w:rPr>
        <w:t>c</w:t>
      </w:r>
      <w:r>
        <w:rPr>
          <w:rFonts w:eastAsia="方正仿宋_GBK"/>
        </w:rPr>
        <w:t>×100%</w:t>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4d</w:t>
      </w:r>
      <w:r>
        <w:rPr>
          <w:rFonts w:hint="eastAsia" w:eastAsia="方正仿宋_GBK"/>
        </w:rPr>
        <w:t>──装配式吊顶的应用比例；</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4d</w:t>
      </w:r>
      <w:r>
        <w:rPr>
          <w:rFonts w:hint="eastAsia" w:eastAsia="方正仿宋_GBK"/>
        </w:rPr>
        <w:t>──各楼层装配式吊顶的水平投影面积之和。</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c</w:t>
      </w:r>
      <w:r>
        <w:rPr>
          <w:rFonts w:hint="eastAsia" w:eastAsia="方正仿宋_GBK"/>
        </w:rPr>
        <w:t>──各楼层顶面水平投影总面积，可扣除公区、厨房、卫生间、楼梯间、设备用房的顶面水平投影面积。</w:t>
      </w:r>
    </w:p>
    <w:p>
      <w:pPr>
        <w:adjustRightInd w:val="0"/>
        <w:snapToGrid w:val="0"/>
        <w:spacing w:line="500" w:lineRule="exact"/>
        <w:ind w:firstLine="640" w:firstLineChars="200"/>
        <w:rPr>
          <w:rFonts w:eastAsia="方正仿宋_GBK"/>
        </w:rPr>
      </w:pPr>
      <w:r>
        <w:rPr>
          <w:rFonts w:hint="eastAsia" w:eastAsia="方正仿宋_GBK"/>
        </w:rPr>
        <w:t>装配式吊顶指由工厂生产的，具有隔声、防火、防潮等性能，且满足空间功能和美学要求的部品集成，并主要采用干式工法装配而成的装饰顶棚。</w:t>
      </w:r>
      <w:r>
        <w:rPr>
          <w:rFonts w:eastAsia="方正仿宋_GBK"/>
        </w:rPr>
        <w:t xml:space="preserve">    </w:t>
      </w:r>
    </w:p>
    <w:p>
      <w:pPr>
        <w:adjustRightInd w:val="0"/>
        <w:snapToGrid w:val="0"/>
        <w:spacing w:line="500" w:lineRule="exact"/>
        <w:ind w:firstLine="640" w:firstLineChars="200"/>
        <w:rPr>
          <w:rFonts w:eastAsia="方正仿宋_GBK"/>
        </w:rPr>
      </w:pPr>
      <w:r>
        <w:rPr>
          <w:rFonts w:eastAsia="方正仿宋_GBK"/>
        </w:rPr>
        <w:t>5</w:t>
      </w:r>
      <w:r>
        <w:rPr>
          <w:rFonts w:hint="eastAsia" w:eastAsia="方正仿宋_GBK"/>
        </w:rPr>
        <w:t>．干法楼地面的应用比例按下式计算：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4e</w:t>
      </w:r>
      <w:r>
        <w:rPr>
          <w:rFonts w:eastAsia="方正仿宋_GBK"/>
          <w:i/>
          <w:iCs/>
        </w:rPr>
        <w:t>=A</w:t>
      </w:r>
      <w:r>
        <w:rPr>
          <w:rFonts w:eastAsia="方正仿宋_GBK"/>
          <w:vertAlign w:val="subscript"/>
        </w:rPr>
        <w:t>4e</w:t>
      </w:r>
      <w:r>
        <w:rPr>
          <w:rFonts w:eastAsia="方正仿宋_GBK"/>
          <w:i/>
          <w:iCs/>
        </w:rPr>
        <w:t>/A</w:t>
      </w:r>
      <w:r>
        <w:rPr>
          <w:rFonts w:eastAsia="方正仿宋_GBK"/>
          <w:vertAlign w:val="subscript"/>
        </w:rPr>
        <w:t>f</w:t>
      </w:r>
      <w:r>
        <w:rPr>
          <w:rFonts w:eastAsia="方正仿宋_GBK"/>
        </w:rPr>
        <w:t>×100%</w:t>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4e</w:t>
      </w:r>
      <w:r>
        <w:rPr>
          <w:rFonts w:hint="eastAsia" w:eastAsia="方正仿宋_GBK"/>
        </w:rPr>
        <w:t>──干法楼地面的应用比例；</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4e</w:t>
      </w:r>
      <w:r>
        <w:rPr>
          <w:rFonts w:hint="eastAsia" w:eastAsia="方正仿宋_GBK"/>
        </w:rPr>
        <w:t>──各楼层采用干法楼地面的水平投影面积之和。</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f</w:t>
      </w:r>
      <w:r>
        <w:rPr>
          <w:rFonts w:hint="eastAsia" w:eastAsia="方正仿宋_GBK"/>
        </w:rPr>
        <w:t>──各楼层地面的水平投影总面积，可扣除公区、厨房、卫生间、楼梯间、设备用房的水平投影面积。</w:t>
      </w:r>
    </w:p>
    <w:p>
      <w:pPr>
        <w:adjustRightInd w:val="0"/>
        <w:snapToGrid w:val="0"/>
        <w:spacing w:line="500" w:lineRule="exact"/>
        <w:ind w:firstLine="640" w:firstLineChars="200"/>
        <w:rPr>
          <w:rFonts w:eastAsia="方正仿宋_GBK"/>
          <w:highlight w:val="none"/>
        </w:rPr>
      </w:pPr>
      <w:r>
        <w:rPr>
          <w:rFonts w:hint="eastAsia" w:eastAsia="方正仿宋_GBK"/>
        </w:rPr>
        <w:t>干法楼地面是指采用架空、干铺或其他干式工法</w:t>
      </w:r>
      <w:r>
        <w:rPr>
          <w:rFonts w:hint="eastAsia" w:eastAsia="方正仿宋_GBK"/>
          <w:lang w:val="en-US" w:eastAsia="zh-CN"/>
        </w:rPr>
        <w:t>装配而成</w:t>
      </w:r>
      <w:r>
        <w:rPr>
          <w:rFonts w:hint="eastAsia" w:eastAsia="方正仿宋_GBK"/>
        </w:rPr>
        <w:t>的楼地面装修工艺</w:t>
      </w:r>
      <w:r>
        <w:rPr>
          <w:rFonts w:hint="eastAsia" w:eastAsia="方正仿宋_GBK"/>
          <w:lang w:eastAsia="zh-CN"/>
        </w:rPr>
        <w:t>，</w:t>
      </w:r>
      <w:r>
        <w:rPr>
          <w:rFonts w:hint="eastAsia" w:eastAsia="方正仿宋_GBK"/>
        </w:rPr>
        <w:t>要求楼地面基层一次成型，无湿作业找平层，现场干法组装，如木地板、架空地板系统</w:t>
      </w:r>
      <w:r>
        <w:rPr>
          <w:rFonts w:hint="eastAsia" w:eastAsia="方正仿宋_GBK"/>
          <w:highlight w:val="none"/>
        </w:rPr>
        <w:t>等。在模块化保温隔声功能部品上采用瓷砖薄贴工艺装修，现阶段可按干法楼地面计算分值。</w:t>
      </w:r>
    </w:p>
    <w:p>
      <w:pPr>
        <w:adjustRightInd w:val="0"/>
        <w:snapToGrid w:val="0"/>
        <w:spacing w:line="500" w:lineRule="exact"/>
        <w:ind w:firstLine="640" w:firstLineChars="200"/>
        <w:rPr>
          <w:rFonts w:eastAsia="方正仿宋_GBK"/>
        </w:rPr>
      </w:pPr>
      <w:r>
        <w:rPr>
          <w:rFonts w:eastAsia="方正仿宋_GBK"/>
        </w:rPr>
        <w:t>6</w:t>
      </w:r>
      <w:r>
        <w:rPr>
          <w:rFonts w:hint="eastAsia" w:eastAsia="方正仿宋_GBK"/>
        </w:rPr>
        <w:t>．装配式墙面的应用比例按下式计算：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4f</w:t>
      </w:r>
      <w:r>
        <w:rPr>
          <w:rFonts w:eastAsia="方正仿宋_GBK"/>
        </w:rPr>
        <w:t>=</w:t>
      </w:r>
      <w:r>
        <w:rPr>
          <w:rFonts w:eastAsia="方正仿宋_GBK"/>
          <w:i/>
          <w:iCs/>
        </w:rPr>
        <w:t>A</w:t>
      </w:r>
      <w:r>
        <w:rPr>
          <w:rFonts w:eastAsia="方正仿宋_GBK"/>
          <w:vertAlign w:val="subscript"/>
        </w:rPr>
        <w:t>4f</w:t>
      </w:r>
      <w:r>
        <w:rPr>
          <w:rFonts w:eastAsia="方正仿宋_GBK"/>
        </w:rPr>
        <w:t>/</w:t>
      </w:r>
      <w:r>
        <w:rPr>
          <w:rFonts w:eastAsia="方正仿宋_GBK"/>
          <w:i/>
          <w:iCs/>
        </w:rPr>
        <w:t>A</w:t>
      </w:r>
      <w:r>
        <w:rPr>
          <w:rFonts w:eastAsia="方正仿宋_GBK"/>
          <w:vertAlign w:val="subscript"/>
        </w:rPr>
        <w:t>s</w:t>
      </w:r>
      <w:r>
        <w:rPr>
          <w:rFonts w:eastAsia="方正仿宋_GBK"/>
        </w:rPr>
        <w:t>×100%</w:t>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4f</w:t>
      </w:r>
      <w:r>
        <w:rPr>
          <w:rFonts w:hint="eastAsia" w:eastAsia="方正仿宋_GBK"/>
        </w:rPr>
        <w:t>──装配式墙面的应用比例；</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4f</w:t>
      </w:r>
      <w:r>
        <w:rPr>
          <w:rFonts w:hint="eastAsia" w:eastAsia="方正仿宋_GBK"/>
        </w:rPr>
        <w:t>──各楼层室内固定墙面采用干式工法装修的面积之和，不扣除门、窗及预留洞口面积；</w:t>
      </w:r>
    </w:p>
    <w:p>
      <w:pPr>
        <w:adjustRightInd w:val="0"/>
        <w:snapToGrid w:val="0"/>
        <w:spacing w:line="500" w:lineRule="exact"/>
        <w:ind w:firstLine="1600" w:firstLineChars="500"/>
        <w:rPr>
          <w:rFonts w:eastAsia="方正仿宋_GBK"/>
        </w:rPr>
      </w:pPr>
      <w:r>
        <w:rPr>
          <w:rFonts w:eastAsia="方正仿宋_GBK"/>
          <w:i/>
          <w:iCs/>
        </w:rPr>
        <w:t>A</w:t>
      </w:r>
      <w:r>
        <w:rPr>
          <w:rFonts w:eastAsia="方正仿宋_GBK"/>
          <w:vertAlign w:val="subscript"/>
        </w:rPr>
        <w:t>s</w:t>
      </w:r>
      <w:r>
        <w:rPr>
          <w:rFonts w:hint="eastAsia" w:eastAsia="方正仿宋_GBK"/>
        </w:rPr>
        <w:t>──各楼层室内固定墙面的总面积，可扣除公区、厨房、卫生间、楼梯间、设备用房墙面面积，不扣除门、窗及预留洞口面积。</w:t>
      </w:r>
    </w:p>
    <w:p>
      <w:pPr>
        <w:adjustRightInd w:val="0"/>
        <w:snapToGrid w:val="0"/>
        <w:spacing w:line="500" w:lineRule="exact"/>
        <w:ind w:firstLine="640" w:firstLineChars="200"/>
        <w:rPr>
          <w:rFonts w:eastAsia="方正仿宋_GBK"/>
        </w:rPr>
      </w:pPr>
      <w:r>
        <w:rPr>
          <w:rFonts w:hint="eastAsia" w:eastAsia="方正仿宋_GBK"/>
        </w:rPr>
        <w:t>装配式墙面是指在结构墙体或隔墙基层上采用干式工法安装，起到保护和装饰建筑墙体作用的集成墙面。</w:t>
      </w:r>
    </w:p>
    <w:p>
      <w:pPr>
        <w:adjustRightInd w:val="0"/>
        <w:snapToGrid w:val="0"/>
        <w:spacing w:line="500" w:lineRule="exact"/>
        <w:ind w:firstLine="640" w:firstLineChars="200"/>
        <w:rPr>
          <w:rFonts w:eastAsia="方正仿宋_GBK"/>
        </w:rPr>
      </w:pPr>
      <w:r>
        <w:rPr>
          <w:rFonts w:eastAsia="方正仿宋_GBK"/>
        </w:rPr>
        <w:t>7</w:t>
      </w:r>
      <w:r>
        <w:rPr>
          <w:rFonts w:hint="eastAsia" w:eastAsia="方正仿宋_GBK"/>
        </w:rPr>
        <w:t>．管线分离的应用比例按下式计算：</w:t>
      </w:r>
    </w:p>
    <w:p>
      <w:pPr>
        <w:adjustRightInd w:val="0"/>
        <w:snapToGrid w:val="0"/>
        <w:spacing w:line="500" w:lineRule="exact"/>
        <w:jc w:val="center"/>
        <w:rPr>
          <w:rFonts w:eastAsia="方正仿宋_GBK"/>
        </w:rPr>
      </w:pPr>
      <w:r>
        <w:rPr>
          <w:rFonts w:eastAsia="方正仿宋_GBK"/>
          <w:i/>
          <w:iCs/>
        </w:rPr>
        <w:t>q</w:t>
      </w:r>
      <w:r>
        <w:rPr>
          <w:rFonts w:eastAsia="方正仿宋_GBK"/>
          <w:vertAlign w:val="subscript"/>
        </w:rPr>
        <w:t>4g</w:t>
      </w:r>
      <w:r>
        <w:rPr>
          <w:rFonts w:eastAsia="方正仿宋_GBK"/>
          <w:i/>
          <w:iCs/>
        </w:rPr>
        <w:t>=L</w:t>
      </w:r>
      <w:r>
        <w:rPr>
          <w:rFonts w:eastAsia="方正仿宋_GBK"/>
          <w:vertAlign w:val="subscript"/>
        </w:rPr>
        <w:t>4g</w:t>
      </w:r>
      <w:r>
        <w:rPr>
          <w:rFonts w:eastAsia="方正仿宋_GBK"/>
          <w:i/>
          <w:iCs/>
        </w:rPr>
        <w:t>/L</w:t>
      </w:r>
      <w:r>
        <w:rPr>
          <w:rFonts w:eastAsia="方正仿宋_GBK"/>
          <w:vertAlign w:val="subscript"/>
        </w:rPr>
        <w:t>t</w:t>
      </w:r>
      <w:r>
        <w:rPr>
          <w:rFonts w:eastAsia="方正仿宋_GBK"/>
        </w:rPr>
        <w:t>×100%</w:t>
      </w:r>
    </w:p>
    <w:p>
      <w:pPr>
        <w:adjustRightInd w:val="0"/>
        <w:snapToGrid w:val="0"/>
        <w:spacing w:line="500" w:lineRule="exact"/>
        <w:ind w:firstLine="640" w:firstLineChars="200"/>
        <w:rPr>
          <w:rFonts w:eastAsia="方正仿宋_GBK"/>
        </w:rPr>
      </w:pPr>
      <w:r>
        <w:rPr>
          <w:rFonts w:hint="eastAsia" w:eastAsia="方正仿宋_GBK"/>
        </w:rPr>
        <w:t>式中：</w:t>
      </w:r>
      <w:r>
        <w:rPr>
          <w:rFonts w:eastAsia="方正仿宋_GBK"/>
          <w:i/>
          <w:iCs/>
        </w:rPr>
        <w:t>q</w:t>
      </w:r>
      <w:r>
        <w:rPr>
          <w:rFonts w:eastAsia="方正仿宋_GBK"/>
          <w:vertAlign w:val="subscript"/>
        </w:rPr>
        <w:t>4g</w:t>
      </w:r>
      <w:r>
        <w:rPr>
          <w:rFonts w:hint="eastAsia" w:eastAsia="方正仿宋_GBK"/>
        </w:rPr>
        <w:t>──管线分离的应用比例；</w:t>
      </w:r>
    </w:p>
    <w:p>
      <w:pPr>
        <w:adjustRightInd w:val="0"/>
        <w:snapToGrid w:val="0"/>
        <w:spacing w:line="500" w:lineRule="exact"/>
        <w:ind w:firstLine="1600" w:firstLineChars="500"/>
        <w:rPr>
          <w:rFonts w:eastAsia="方正仿宋_GBK"/>
        </w:rPr>
      </w:pPr>
      <w:r>
        <w:rPr>
          <w:rFonts w:eastAsia="方正仿宋_GBK"/>
          <w:i/>
          <w:iCs/>
        </w:rPr>
        <w:t>L</w:t>
      </w:r>
      <w:r>
        <w:rPr>
          <w:rFonts w:eastAsia="方正仿宋_GBK"/>
          <w:vertAlign w:val="subscript"/>
        </w:rPr>
        <w:t>4g</w:t>
      </w:r>
      <w:r>
        <w:rPr>
          <w:rFonts w:hint="eastAsia" w:eastAsia="方正仿宋_GBK"/>
        </w:rPr>
        <w:t>──各楼层与结构分离的管线长度之和；</w:t>
      </w:r>
    </w:p>
    <w:p>
      <w:pPr>
        <w:adjustRightInd w:val="0"/>
        <w:snapToGrid w:val="0"/>
        <w:spacing w:line="500" w:lineRule="exact"/>
        <w:ind w:firstLine="1600" w:firstLineChars="500"/>
        <w:rPr>
          <w:rFonts w:eastAsia="方正仿宋_GBK"/>
        </w:rPr>
      </w:pPr>
      <w:r>
        <w:rPr>
          <w:rFonts w:eastAsia="方正仿宋_GBK"/>
          <w:i/>
          <w:iCs/>
        </w:rPr>
        <w:t>L</w:t>
      </w:r>
      <w:r>
        <w:rPr>
          <w:rFonts w:eastAsia="方正仿宋_GBK"/>
          <w:vertAlign w:val="subscript"/>
        </w:rPr>
        <w:t>t</w:t>
      </w:r>
      <w:r>
        <w:rPr>
          <w:rFonts w:hint="eastAsia" w:eastAsia="方正仿宋_GBK"/>
        </w:rPr>
        <w:t>──各楼层电气、给水和排水管线总长度。</w:t>
      </w:r>
      <w:bookmarkStart w:id="2" w:name="5评价等级划分"/>
      <w:bookmarkEnd w:id="2"/>
      <w:bookmarkStart w:id="3" w:name="_bookmark4"/>
      <w:bookmarkEnd w:id="3"/>
    </w:p>
    <w:p>
      <w:pPr>
        <w:adjustRightInd w:val="0"/>
        <w:snapToGrid w:val="0"/>
        <w:spacing w:line="500" w:lineRule="exact"/>
        <w:ind w:firstLine="640" w:firstLineChars="200"/>
        <w:rPr>
          <w:rFonts w:eastAsia="方正仿宋_GBK"/>
        </w:rPr>
      </w:pPr>
      <w:r>
        <w:rPr>
          <w:rFonts w:hint="eastAsia" w:eastAsia="方正仿宋_GBK"/>
        </w:rPr>
        <w:t>管线分离是指管线与主体结构相分离。与结构分离的管线包括裸露于室内空间、管道井以及敷设在地面架空层、装配式墙面空腔、吊顶内的电气、给水和排水管线。制冷、供暖、消防、排烟系统中的风管、水管</w:t>
      </w:r>
      <w:r>
        <w:rPr>
          <w:rFonts w:hint="eastAsia" w:eastAsia="方正仿宋_GBK"/>
          <w:lang w:eastAsia="zh-CN"/>
        </w:rPr>
        <w:t>，以及</w:t>
      </w:r>
      <w:r>
        <w:rPr>
          <w:rFonts w:hint="eastAsia" w:eastAsia="方正仿宋_GBK"/>
        </w:rPr>
        <w:t>敷设在湿作业找平层（垫层、回填层、抹灰层等）或非承重墙体内的管线不纳入管线分离计算范围。</w:t>
      </w:r>
    </w:p>
    <w:p>
      <w:pPr>
        <w:adjustRightInd w:val="0"/>
        <w:snapToGrid w:val="0"/>
        <w:spacing w:line="500" w:lineRule="exact"/>
        <w:ind w:firstLine="640" w:firstLineChars="200"/>
        <w:rPr>
          <w:rFonts w:eastAsia="方正仿宋_GBK"/>
        </w:rPr>
      </w:pPr>
      <w:r>
        <w:rPr>
          <w:rFonts w:eastAsia="方正仿宋_GBK"/>
        </w:rPr>
        <w:t>8</w:t>
      </w:r>
      <w:r>
        <w:rPr>
          <w:rFonts w:hint="eastAsia" w:eastAsia="方正仿宋_GBK"/>
        </w:rPr>
        <w:t>．管线一体化得分规定</w:t>
      </w:r>
    </w:p>
    <w:p>
      <w:pPr>
        <w:adjustRightInd w:val="0"/>
        <w:snapToGrid w:val="0"/>
        <w:spacing w:line="500" w:lineRule="exact"/>
        <w:ind w:firstLine="640" w:firstLineChars="200"/>
        <w:rPr>
          <w:rFonts w:eastAsia="方正仿宋_GBK"/>
        </w:rPr>
      </w:pPr>
      <w:r>
        <w:rPr>
          <w:rFonts w:hint="eastAsia" w:eastAsia="方正仿宋_GBK"/>
        </w:rPr>
        <w:t>管线一体化是指管线与装配式内隔墙一体化集成，满足集成设计、工厂化生产、现场模块化装配三项要求的装配式技术。装配式内隔墙（含承重和非承重）与电气管线和插座一体化设计，并全部在工厂完成生产可得此项分值。</w:t>
      </w:r>
    </w:p>
    <w:p>
      <w:pPr>
        <w:adjustRightInd w:val="0"/>
        <w:snapToGrid w:val="0"/>
        <w:spacing w:line="500" w:lineRule="exact"/>
        <w:ind w:firstLine="640" w:firstLineChars="200"/>
        <w:rPr>
          <w:rFonts w:eastAsia="方正仿宋_GBK"/>
        </w:rPr>
      </w:pPr>
      <w:r>
        <w:rPr>
          <w:rFonts w:hint="eastAsia" w:eastAsia="方正楷体_GBK"/>
        </w:rPr>
        <w:t>（五）智能建造计算规定</w:t>
      </w:r>
    </w:p>
    <w:p>
      <w:pPr>
        <w:adjustRightInd w:val="0"/>
        <w:snapToGrid w:val="0"/>
        <w:spacing w:line="500" w:lineRule="exact"/>
        <w:ind w:firstLine="640" w:firstLineChars="200"/>
        <w:rPr>
          <w:rFonts w:eastAsia="方正仿宋_GBK"/>
        </w:rPr>
      </w:pPr>
      <w:r>
        <w:rPr>
          <w:rFonts w:eastAsia="方正仿宋_GBK"/>
        </w:rPr>
        <w:t>1</w:t>
      </w:r>
      <w:r>
        <w:rPr>
          <w:rFonts w:hint="eastAsia" w:eastAsia="方正仿宋_GBK"/>
        </w:rPr>
        <w:t>．</w:t>
      </w:r>
      <w:r>
        <w:rPr>
          <w:rFonts w:eastAsia="方正仿宋_GBK"/>
        </w:rPr>
        <w:t>BIM</w:t>
      </w:r>
      <w:r>
        <w:rPr>
          <w:rFonts w:hint="eastAsia" w:eastAsia="方正仿宋_GBK"/>
        </w:rPr>
        <w:t>技术应用</w:t>
      </w:r>
    </w:p>
    <w:p>
      <w:pPr>
        <w:adjustRightInd w:val="0"/>
        <w:snapToGrid w:val="0"/>
        <w:spacing w:line="500" w:lineRule="exact"/>
        <w:ind w:firstLine="640" w:firstLineChars="200"/>
        <w:rPr>
          <w:rFonts w:eastAsia="方正仿宋_GBK"/>
        </w:rPr>
      </w:pPr>
      <w:r>
        <w:rPr>
          <w:rFonts w:hint="eastAsia" w:eastAsia="方正仿宋_GBK"/>
        </w:rPr>
        <w:t>根据项目建设不同阶段的</w:t>
      </w:r>
      <w:r>
        <w:rPr>
          <w:rFonts w:eastAsia="方正仿宋_GBK"/>
        </w:rPr>
        <w:t>BIM</w:t>
      </w:r>
      <w:r>
        <w:rPr>
          <w:rFonts w:hint="eastAsia" w:eastAsia="方正仿宋_GBK"/>
        </w:rPr>
        <w:t>应用情况，按下表要求得分，累计不超过</w:t>
      </w:r>
      <w:r>
        <w:rPr>
          <w:rFonts w:eastAsia="方正仿宋_GBK"/>
        </w:rPr>
        <w:t>2</w:t>
      </w:r>
      <w:r>
        <w:rPr>
          <w:rFonts w:hint="eastAsia" w:eastAsia="方正仿宋_GBK"/>
        </w:rPr>
        <w:t>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46" w:type="dxa"/>
            <w:tcBorders>
              <w:left w:val="nil"/>
              <w:right w:val="single" w:color="auto" w:sz="4" w:space="0"/>
            </w:tcBorders>
            <w:vAlign w:val="center"/>
          </w:tcPr>
          <w:p>
            <w:pPr>
              <w:adjustRightInd w:val="0"/>
              <w:snapToGrid w:val="0"/>
              <w:spacing w:line="440" w:lineRule="exact"/>
              <w:jc w:val="center"/>
              <w:rPr>
                <w:rFonts w:eastAsia="方正仿宋_GBK"/>
                <w:sz w:val="28"/>
                <w:szCs w:val="28"/>
              </w:rPr>
            </w:pPr>
            <w:r>
              <w:rPr>
                <w:rFonts w:hint="eastAsia" w:eastAsia="方正仿宋_GBK"/>
                <w:sz w:val="28"/>
                <w:szCs w:val="28"/>
              </w:rPr>
              <w:t>阶段</w:t>
            </w:r>
          </w:p>
        </w:tc>
        <w:tc>
          <w:tcPr>
            <w:tcW w:w="7689" w:type="dxa"/>
            <w:tcBorders>
              <w:left w:val="single" w:color="auto" w:sz="4" w:space="0"/>
              <w:right w:val="nil"/>
            </w:tcBorders>
            <w:vAlign w:val="center"/>
          </w:tcPr>
          <w:p>
            <w:pPr>
              <w:adjustRightInd w:val="0"/>
              <w:snapToGrid w:val="0"/>
              <w:spacing w:line="440" w:lineRule="exact"/>
              <w:jc w:val="center"/>
              <w:rPr>
                <w:rFonts w:eastAsia="方正仿宋_GBK"/>
                <w:sz w:val="28"/>
                <w:szCs w:val="28"/>
              </w:rPr>
            </w:pPr>
            <w:r>
              <w:rPr>
                <w:rFonts w:eastAsia="方正仿宋_GBK"/>
                <w:sz w:val="28"/>
                <w:szCs w:val="28"/>
              </w:rPr>
              <w:t>BIM</w:t>
            </w:r>
            <w:r>
              <w:rPr>
                <w:rFonts w:hint="eastAsia" w:eastAsia="方正仿宋_GBK"/>
                <w:sz w:val="28"/>
                <w:szCs w:val="28"/>
              </w:rPr>
              <w:t>技术应用要求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46" w:type="dxa"/>
            <w:tcBorders>
              <w:left w:val="nil"/>
              <w:right w:val="single" w:color="auto" w:sz="4" w:space="0"/>
            </w:tcBorders>
            <w:vAlign w:val="center"/>
          </w:tcPr>
          <w:p>
            <w:pPr>
              <w:adjustRightInd w:val="0"/>
              <w:snapToGrid w:val="0"/>
              <w:spacing w:line="440" w:lineRule="exact"/>
              <w:jc w:val="center"/>
              <w:rPr>
                <w:rFonts w:eastAsia="方正仿宋_GBK"/>
                <w:sz w:val="28"/>
                <w:szCs w:val="28"/>
                <w:highlight w:val="none"/>
              </w:rPr>
            </w:pPr>
            <w:r>
              <w:rPr>
                <w:rFonts w:hint="eastAsia" w:eastAsia="方正仿宋_GBK"/>
                <w:sz w:val="28"/>
                <w:szCs w:val="28"/>
                <w:highlight w:val="none"/>
              </w:rPr>
              <w:t>设计阶段</w:t>
            </w:r>
          </w:p>
          <w:p>
            <w:pPr>
              <w:adjustRightInd w:val="0"/>
              <w:snapToGrid w:val="0"/>
              <w:spacing w:line="440" w:lineRule="exact"/>
              <w:jc w:val="center"/>
              <w:rPr>
                <w:highlight w:val="none"/>
              </w:rPr>
            </w:pPr>
            <w:r>
              <w:rPr>
                <w:rFonts w:hint="eastAsia" w:eastAsia="方正仿宋_GBK"/>
                <w:sz w:val="28"/>
                <w:szCs w:val="28"/>
                <w:highlight w:val="none"/>
              </w:rPr>
              <w:t>（</w:t>
            </w:r>
            <w:r>
              <w:rPr>
                <w:rFonts w:eastAsia="方正仿宋_GBK"/>
                <w:sz w:val="28"/>
                <w:szCs w:val="28"/>
                <w:highlight w:val="none"/>
              </w:rPr>
              <w:t>0.5</w:t>
            </w:r>
            <w:r>
              <w:rPr>
                <w:rFonts w:hint="eastAsia" w:eastAsia="方正仿宋_GBK"/>
                <w:sz w:val="28"/>
                <w:szCs w:val="28"/>
                <w:highlight w:val="none"/>
              </w:rPr>
              <w:t>分）</w:t>
            </w:r>
          </w:p>
        </w:tc>
        <w:tc>
          <w:tcPr>
            <w:tcW w:w="7689" w:type="dxa"/>
            <w:tcBorders>
              <w:left w:val="single" w:color="auto" w:sz="4" w:space="0"/>
              <w:right w:val="nil"/>
            </w:tcBorders>
            <w:vAlign w:val="center"/>
          </w:tcPr>
          <w:p>
            <w:pPr>
              <w:adjustRightInd w:val="0"/>
              <w:snapToGrid w:val="0"/>
              <w:spacing w:line="440" w:lineRule="exact"/>
              <w:ind w:firstLine="480" w:firstLineChars="200"/>
              <w:jc w:val="left"/>
              <w:rPr>
                <w:rFonts w:eastAsia="方正仿宋_GBK"/>
                <w:sz w:val="24"/>
                <w:szCs w:val="24"/>
                <w:highlight w:val="none"/>
              </w:rPr>
            </w:pPr>
            <w:r>
              <w:rPr>
                <w:rFonts w:hint="eastAsia" w:eastAsia="方正仿宋_GBK"/>
                <w:sz w:val="24"/>
                <w:szCs w:val="24"/>
                <w:highlight w:val="none"/>
              </w:rPr>
              <w:t>施工图设计阶段</w:t>
            </w:r>
            <w:r>
              <w:rPr>
                <w:rFonts w:eastAsia="方正仿宋_GBK"/>
                <w:sz w:val="24"/>
                <w:szCs w:val="24"/>
                <w:highlight w:val="none"/>
              </w:rPr>
              <w:t>BIM</w:t>
            </w:r>
            <w:r>
              <w:rPr>
                <w:rFonts w:hint="eastAsia" w:eastAsia="方正仿宋_GBK"/>
                <w:sz w:val="24"/>
                <w:szCs w:val="24"/>
                <w:highlight w:val="none"/>
              </w:rPr>
              <w:t>模型内容应包含装配式建筑主体结构、围护墙和内隔墙部品部件空间布置，且主要预制混凝土构件直接选用重庆市建筑材料</w:t>
            </w:r>
            <w:r>
              <w:rPr>
                <w:rFonts w:eastAsia="方正仿宋_GBK"/>
                <w:sz w:val="24"/>
                <w:szCs w:val="24"/>
                <w:highlight w:val="none"/>
              </w:rPr>
              <w:t>BIM</w:t>
            </w:r>
            <w:r>
              <w:rPr>
                <w:rFonts w:hint="eastAsia" w:eastAsia="方正仿宋_GBK"/>
                <w:sz w:val="24"/>
                <w:szCs w:val="24"/>
                <w:highlight w:val="none"/>
              </w:rPr>
              <w:t>数据库中的</w:t>
            </w:r>
            <w:r>
              <w:rPr>
                <w:rFonts w:eastAsia="方正仿宋_GBK"/>
                <w:sz w:val="24"/>
                <w:szCs w:val="24"/>
                <w:highlight w:val="none"/>
              </w:rPr>
              <w:t>BIM</w:t>
            </w:r>
            <w:r>
              <w:rPr>
                <w:rFonts w:hint="eastAsia" w:eastAsia="方正仿宋_GBK"/>
                <w:sz w:val="24"/>
                <w:szCs w:val="24"/>
                <w:highlight w:val="none"/>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446" w:type="dxa"/>
            <w:tcBorders>
              <w:left w:val="nil"/>
              <w:right w:val="single" w:color="auto" w:sz="4" w:space="0"/>
            </w:tcBorders>
            <w:vAlign w:val="center"/>
          </w:tcPr>
          <w:p>
            <w:pPr>
              <w:adjustRightInd w:val="0"/>
              <w:snapToGrid w:val="0"/>
              <w:spacing w:line="440" w:lineRule="exact"/>
              <w:jc w:val="center"/>
              <w:rPr>
                <w:rFonts w:eastAsia="方正仿宋_GBK"/>
                <w:sz w:val="28"/>
                <w:szCs w:val="28"/>
                <w:highlight w:val="none"/>
              </w:rPr>
            </w:pPr>
            <w:r>
              <w:rPr>
                <w:rFonts w:hint="eastAsia" w:eastAsia="方正仿宋_GBK"/>
                <w:sz w:val="28"/>
                <w:szCs w:val="28"/>
                <w:highlight w:val="none"/>
              </w:rPr>
              <w:t>生产阶段</w:t>
            </w:r>
          </w:p>
          <w:p>
            <w:pPr>
              <w:adjustRightInd w:val="0"/>
              <w:snapToGrid w:val="0"/>
              <w:spacing w:line="440" w:lineRule="exact"/>
              <w:jc w:val="center"/>
              <w:rPr>
                <w:rFonts w:eastAsia="方正仿宋_GBK"/>
                <w:sz w:val="28"/>
                <w:szCs w:val="28"/>
                <w:highlight w:val="none"/>
              </w:rPr>
            </w:pPr>
            <w:r>
              <w:rPr>
                <w:rFonts w:hint="eastAsia" w:eastAsia="方正仿宋_GBK"/>
                <w:sz w:val="28"/>
                <w:szCs w:val="28"/>
                <w:highlight w:val="none"/>
              </w:rPr>
              <w:t>（</w:t>
            </w:r>
            <w:r>
              <w:rPr>
                <w:rFonts w:eastAsia="方正仿宋_GBK"/>
                <w:sz w:val="28"/>
                <w:szCs w:val="28"/>
                <w:highlight w:val="none"/>
              </w:rPr>
              <w:t>0.5</w:t>
            </w:r>
            <w:r>
              <w:rPr>
                <w:rFonts w:hint="eastAsia" w:eastAsia="方正仿宋_GBK"/>
                <w:sz w:val="28"/>
                <w:szCs w:val="28"/>
                <w:highlight w:val="none"/>
              </w:rPr>
              <w:t>分）</w:t>
            </w:r>
          </w:p>
        </w:tc>
        <w:tc>
          <w:tcPr>
            <w:tcW w:w="7689" w:type="dxa"/>
            <w:tcBorders>
              <w:left w:val="single" w:color="auto" w:sz="4" w:space="0"/>
              <w:right w:val="nil"/>
            </w:tcBorders>
            <w:vAlign w:val="center"/>
          </w:tcPr>
          <w:p>
            <w:pPr>
              <w:adjustRightInd w:val="0"/>
              <w:snapToGrid w:val="0"/>
              <w:spacing w:line="440" w:lineRule="exact"/>
              <w:ind w:firstLine="480" w:firstLineChars="200"/>
              <w:jc w:val="left"/>
              <w:rPr>
                <w:rFonts w:eastAsia="方正仿宋_GBK"/>
                <w:sz w:val="24"/>
                <w:szCs w:val="24"/>
                <w:highlight w:val="none"/>
              </w:rPr>
            </w:pPr>
            <w:r>
              <w:rPr>
                <w:rFonts w:hint="eastAsia" w:eastAsia="方正仿宋_GBK"/>
                <w:sz w:val="24"/>
                <w:szCs w:val="24"/>
                <w:highlight w:val="none"/>
              </w:rPr>
              <w:t>在设计</w:t>
            </w:r>
            <w:r>
              <w:rPr>
                <w:rFonts w:eastAsia="方正仿宋_GBK"/>
                <w:sz w:val="24"/>
                <w:szCs w:val="24"/>
                <w:highlight w:val="none"/>
              </w:rPr>
              <w:t>BIM</w:t>
            </w:r>
            <w:r>
              <w:rPr>
                <w:rFonts w:hint="eastAsia" w:eastAsia="方正仿宋_GBK"/>
                <w:sz w:val="24"/>
                <w:szCs w:val="24"/>
                <w:highlight w:val="none"/>
              </w:rPr>
              <w:t>模型基础上进行预制混凝土构件、钢构件的深化设计，设计内容应包含预制混凝土构件配筋、预留预埋，钢构件的板件尺寸、连接构造等，能直接生成满足生产的深化构件图纸及材料统计表。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46" w:type="dxa"/>
            <w:tcBorders>
              <w:left w:val="nil"/>
              <w:right w:val="single" w:color="auto" w:sz="4" w:space="0"/>
            </w:tcBorders>
            <w:vAlign w:val="center"/>
          </w:tcPr>
          <w:p>
            <w:pPr>
              <w:adjustRightInd w:val="0"/>
              <w:snapToGrid w:val="0"/>
              <w:spacing w:line="440" w:lineRule="exact"/>
              <w:jc w:val="center"/>
              <w:rPr>
                <w:rFonts w:eastAsia="方正仿宋_GBK"/>
                <w:sz w:val="28"/>
                <w:szCs w:val="28"/>
                <w:highlight w:val="none"/>
              </w:rPr>
            </w:pPr>
            <w:r>
              <w:rPr>
                <w:rFonts w:hint="eastAsia" w:eastAsia="方正仿宋_GBK"/>
                <w:sz w:val="28"/>
                <w:szCs w:val="28"/>
                <w:highlight w:val="none"/>
              </w:rPr>
              <w:t>施工阶段</w:t>
            </w:r>
          </w:p>
          <w:p>
            <w:pPr>
              <w:adjustRightInd w:val="0"/>
              <w:snapToGrid w:val="0"/>
              <w:spacing w:line="440" w:lineRule="exact"/>
              <w:jc w:val="center"/>
              <w:rPr>
                <w:rFonts w:eastAsia="方正仿宋_GBK"/>
                <w:sz w:val="28"/>
                <w:szCs w:val="28"/>
                <w:highlight w:val="none"/>
              </w:rPr>
            </w:pPr>
            <w:r>
              <w:rPr>
                <w:rFonts w:hint="eastAsia" w:eastAsia="方正仿宋_GBK"/>
                <w:sz w:val="28"/>
                <w:szCs w:val="28"/>
                <w:highlight w:val="none"/>
              </w:rPr>
              <w:t>（</w:t>
            </w:r>
            <w:r>
              <w:rPr>
                <w:rFonts w:eastAsia="方正仿宋_GBK"/>
                <w:sz w:val="28"/>
                <w:szCs w:val="28"/>
                <w:highlight w:val="none"/>
              </w:rPr>
              <w:t>1</w:t>
            </w:r>
            <w:r>
              <w:rPr>
                <w:rFonts w:hint="eastAsia" w:eastAsia="方正仿宋_GBK"/>
                <w:sz w:val="28"/>
                <w:szCs w:val="28"/>
                <w:highlight w:val="none"/>
              </w:rPr>
              <w:t>分）</w:t>
            </w:r>
          </w:p>
        </w:tc>
        <w:tc>
          <w:tcPr>
            <w:tcW w:w="7689" w:type="dxa"/>
            <w:tcBorders>
              <w:left w:val="single" w:color="auto" w:sz="4" w:space="0"/>
              <w:right w:val="nil"/>
            </w:tcBorders>
            <w:vAlign w:val="center"/>
          </w:tcPr>
          <w:p>
            <w:pPr>
              <w:adjustRightInd w:val="0"/>
              <w:snapToGrid w:val="0"/>
              <w:spacing w:line="440" w:lineRule="exact"/>
              <w:ind w:firstLine="480" w:firstLineChars="200"/>
              <w:jc w:val="left"/>
              <w:rPr>
                <w:rFonts w:eastAsia="方正仿宋_GBK"/>
                <w:sz w:val="24"/>
                <w:szCs w:val="24"/>
                <w:highlight w:val="none"/>
              </w:rPr>
            </w:pPr>
            <w:r>
              <w:rPr>
                <w:rFonts w:hint="eastAsia" w:eastAsia="方正仿宋_GBK"/>
                <w:sz w:val="24"/>
                <w:szCs w:val="24"/>
                <w:highlight w:val="none"/>
              </w:rPr>
              <w:t>应用</w:t>
            </w:r>
            <w:r>
              <w:rPr>
                <w:rFonts w:eastAsia="方正仿宋_GBK"/>
                <w:sz w:val="24"/>
                <w:szCs w:val="24"/>
                <w:highlight w:val="none"/>
              </w:rPr>
              <w:t>BIM</w:t>
            </w:r>
            <w:r>
              <w:rPr>
                <w:rFonts w:hint="eastAsia" w:eastAsia="方正仿宋_GBK"/>
                <w:sz w:val="24"/>
                <w:szCs w:val="24"/>
                <w:highlight w:val="none"/>
              </w:rPr>
              <w:t>模型对预制构件进行安装工艺模拟和节点钢筋、管线碰撞检查、确定构件安装顺序和工艺。</w:t>
            </w:r>
          </w:p>
        </w:tc>
      </w:tr>
    </w:tbl>
    <w:p>
      <w:pPr>
        <w:numPr>
          <w:ilvl w:val="255"/>
          <w:numId w:val="0"/>
        </w:numPr>
        <w:adjustRightInd w:val="0"/>
        <w:snapToGrid w:val="0"/>
        <w:spacing w:line="500" w:lineRule="exact"/>
        <w:ind w:firstLine="640" w:firstLineChars="200"/>
        <w:rPr>
          <w:rFonts w:eastAsia="方正仿宋_GBK"/>
        </w:rPr>
      </w:pPr>
      <w:r>
        <w:rPr>
          <w:rFonts w:eastAsia="方正仿宋_GBK"/>
        </w:rPr>
        <w:t>2</w:t>
      </w:r>
      <w:r>
        <w:rPr>
          <w:rFonts w:hint="eastAsia" w:eastAsia="方正仿宋_GBK"/>
        </w:rPr>
        <w:t>．智能化装备应用</w:t>
      </w:r>
    </w:p>
    <w:p>
      <w:pPr>
        <w:adjustRightInd w:val="0"/>
        <w:snapToGrid w:val="0"/>
        <w:spacing w:line="500" w:lineRule="exact"/>
        <w:ind w:firstLine="640" w:firstLineChars="200"/>
        <w:rPr>
          <w:rFonts w:eastAsia="方正仿宋_GBK"/>
        </w:rPr>
      </w:pPr>
      <w:r>
        <w:rPr>
          <w:rFonts w:hint="eastAsia" w:eastAsia="方正仿宋_GBK"/>
        </w:rPr>
        <w:t>（</w:t>
      </w:r>
      <w:r>
        <w:rPr>
          <w:rFonts w:eastAsia="方正仿宋_GBK"/>
        </w:rPr>
        <w:t>1</w:t>
      </w:r>
      <w:r>
        <w:rPr>
          <w:rFonts w:hint="eastAsia" w:eastAsia="方正仿宋_GBK"/>
        </w:rPr>
        <w:t>）采用成型钢筋集中加工配送，包含</w:t>
      </w:r>
      <w:r>
        <w:rPr>
          <w:rFonts w:hint="eastAsia" w:eastAsia="方正仿宋_GBK"/>
          <w:lang w:val="en-US" w:eastAsia="zh-CN"/>
        </w:rPr>
        <w:t>成型</w:t>
      </w:r>
      <w:r>
        <w:rPr>
          <w:rFonts w:hint="eastAsia" w:eastAsia="方正仿宋_GBK"/>
        </w:rPr>
        <w:t>箍筋、成型板筋、成型纵筋、成型分布筋</w:t>
      </w:r>
      <w:r>
        <w:rPr>
          <w:rFonts w:hint="eastAsia" w:eastAsia="方正仿宋_GBK"/>
          <w:lang w:val="en-US" w:eastAsia="zh-CN"/>
        </w:rPr>
        <w:t>4类</w:t>
      </w:r>
      <w:r>
        <w:rPr>
          <w:rFonts w:hint="eastAsia" w:eastAsia="方正仿宋_GBK"/>
        </w:rPr>
        <w:t>。</w:t>
      </w:r>
    </w:p>
    <w:p>
      <w:pPr>
        <w:adjustRightInd w:val="0"/>
        <w:snapToGrid w:val="0"/>
        <w:spacing w:line="500" w:lineRule="exact"/>
        <w:ind w:firstLine="640" w:firstLineChars="200"/>
        <w:rPr>
          <w:rFonts w:eastAsia="方正仿宋_GBK"/>
        </w:rPr>
      </w:pPr>
      <w:r>
        <w:rPr>
          <w:rFonts w:hint="eastAsia" w:eastAsia="方正仿宋_GBK"/>
        </w:rPr>
        <w:t>得分标准：</w:t>
      </w:r>
      <w:r>
        <w:rPr>
          <w:rFonts w:hint="eastAsia" w:eastAsia="方正仿宋_GBK"/>
          <w:lang w:val="en-US" w:eastAsia="zh-CN"/>
        </w:rPr>
        <w:t>每</w:t>
      </w:r>
      <w:r>
        <w:rPr>
          <w:rFonts w:hint="eastAsia" w:eastAsia="方正仿宋_GBK"/>
        </w:rPr>
        <w:t>采用</w:t>
      </w:r>
      <w:r>
        <w:rPr>
          <w:rFonts w:hint="eastAsia" w:eastAsia="方正仿宋_GBK"/>
          <w:lang w:val="en-US" w:eastAsia="zh-CN"/>
        </w:rPr>
        <w:t>1类成型钢筋且现浇部分按重量计算的应用比例不小于90%</w:t>
      </w:r>
      <w:r>
        <w:rPr>
          <w:rFonts w:hint="eastAsia" w:eastAsia="方正仿宋_GBK"/>
        </w:rPr>
        <w:t>得</w:t>
      </w:r>
      <w:r>
        <w:rPr>
          <w:rFonts w:eastAsia="方正仿宋_GBK"/>
        </w:rPr>
        <w:t>0.5</w:t>
      </w:r>
      <w:r>
        <w:rPr>
          <w:rFonts w:hint="eastAsia" w:eastAsia="方正仿宋_GBK"/>
        </w:rPr>
        <w:t>分，累计不超</w:t>
      </w:r>
      <w:r>
        <w:rPr>
          <w:rFonts w:eastAsia="方正仿宋_GBK"/>
        </w:rPr>
        <w:t>1</w:t>
      </w:r>
      <w:r>
        <w:rPr>
          <w:rFonts w:hint="eastAsia" w:eastAsia="方正仿宋_GBK"/>
        </w:rPr>
        <w:t>分。</w:t>
      </w:r>
    </w:p>
    <w:p>
      <w:pPr>
        <w:adjustRightInd w:val="0"/>
        <w:snapToGrid w:val="0"/>
        <w:spacing w:line="500" w:lineRule="exact"/>
        <w:ind w:firstLine="640" w:firstLineChars="200"/>
        <w:rPr>
          <w:rFonts w:eastAsia="方正仿宋_GBK"/>
        </w:rPr>
      </w:pPr>
      <w:r>
        <w:rPr>
          <w:rFonts w:hint="eastAsia" w:eastAsia="方正仿宋_GBK"/>
        </w:rPr>
        <w:t>（</w:t>
      </w:r>
      <w:r>
        <w:rPr>
          <w:rFonts w:eastAsia="方正仿宋_GBK"/>
        </w:rPr>
        <w:t>2</w:t>
      </w:r>
      <w:r>
        <w:rPr>
          <w:rFonts w:hint="eastAsia" w:eastAsia="方正仿宋_GBK"/>
        </w:rPr>
        <w:t>）主要分部工程</w:t>
      </w:r>
      <w:r>
        <w:rPr>
          <w:rFonts w:hint="default" w:eastAsia="方正仿宋_GBK"/>
          <w:lang w:val="en-US" w:eastAsia="zh-CN"/>
        </w:rPr>
        <w:t>按照</w:t>
      </w:r>
      <w:r>
        <w:rPr>
          <w:rFonts w:hint="eastAsia" w:eastAsia="方正仿宋_GBK"/>
          <w:lang w:val="en-US" w:eastAsia="zh-CN"/>
        </w:rPr>
        <w:t>《重庆市建设领域建筑机器人与智能施工装备选用指南》提出的适用场景和应用要点，选用推广类建筑机器人</w:t>
      </w:r>
      <w:r>
        <w:rPr>
          <w:rFonts w:hint="eastAsia" w:eastAsia="方正仿宋_GBK"/>
        </w:rPr>
        <w:t>进行施工</w:t>
      </w:r>
      <w:r>
        <w:rPr>
          <w:rFonts w:hint="eastAsia" w:eastAsia="方正仿宋_GBK"/>
          <w:lang w:eastAsia="zh-CN"/>
        </w:rPr>
        <w:t>，</w:t>
      </w:r>
      <w:r>
        <w:rPr>
          <w:rFonts w:hint="eastAsia" w:eastAsia="方正仿宋_GBK"/>
          <w:lang w:val="en-US" w:eastAsia="zh-CN"/>
        </w:rPr>
        <w:t>或结合工程实际选用造楼机进行施工</w:t>
      </w:r>
      <w:r>
        <w:rPr>
          <w:rFonts w:hint="eastAsia" w:eastAsia="方正仿宋_GBK"/>
        </w:rPr>
        <w:t>。</w:t>
      </w:r>
    </w:p>
    <w:p>
      <w:pPr>
        <w:adjustRightInd w:val="0"/>
        <w:snapToGrid w:val="0"/>
        <w:spacing w:line="500" w:lineRule="exact"/>
        <w:ind w:firstLine="640" w:firstLineChars="200"/>
        <w:rPr>
          <w:rFonts w:eastAsia="方正仿宋_GBK"/>
        </w:rPr>
      </w:pPr>
      <w:r>
        <w:rPr>
          <w:rFonts w:hint="eastAsia" w:eastAsia="方正仿宋_GBK"/>
        </w:rPr>
        <w:t>得分标准：每采用</w:t>
      </w:r>
      <w:r>
        <w:rPr>
          <w:rFonts w:eastAsia="方正仿宋_GBK"/>
        </w:rPr>
        <w:t>1</w:t>
      </w:r>
      <w:r>
        <w:rPr>
          <w:rFonts w:hint="eastAsia" w:eastAsia="方正仿宋_GBK"/>
        </w:rPr>
        <w:t>项</w:t>
      </w:r>
      <w:r>
        <w:rPr>
          <w:rFonts w:hint="eastAsia" w:eastAsia="方正仿宋_GBK"/>
          <w:lang w:val="en-US" w:eastAsia="zh-CN"/>
        </w:rPr>
        <w:t>推广类建筑机器人且施工作业面积占适宜场景作业总面积的比例不小于50%</w:t>
      </w:r>
      <w:r>
        <w:rPr>
          <w:rFonts w:hint="eastAsia" w:eastAsia="方正仿宋_GBK"/>
        </w:rPr>
        <w:t>得</w:t>
      </w:r>
      <w:r>
        <w:rPr>
          <w:rFonts w:eastAsia="方正仿宋_GBK"/>
        </w:rPr>
        <w:t>1</w:t>
      </w:r>
      <w:r>
        <w:rPr>
          <w:rFonts w:hint="eastAsia" w:eastAsia="方正仿宋_GBK"/>
        </w:rPr>
        <w:t>分，累计不超</w:t>
      </w:r>
      <w:r>
        <w:rPr>
          <w:rFonts w:eastAsia="方正仿宋_GBK"/>
        </w:rPr>
        <w:t>2</w:t>
      </w:r>
      <w:r>
        <w:rPr>
          <w:rFonts w:hint="eastAsia" w:eastAsia="方正仿宋_GBK"/>
        </w:rPr>
        <w:t>分，采用造楼机可直接得</w:t>
      </w:r>
      <w:r>
        <w:rPr>
          <w:rFonts w:eastAsia="方正仿宋_GBK"/>
        </w:rPr>
        <w:t>2</w:t>
      </w:r>
      <w:r>
        <w:rPr>
          <w:rFonts w:hint="eastAsia" w:eastAsia="方正仿宋_GBK"/>
        </w:rPr>
        <w:t>分。</w:t>
      </w:r>
    </w:p>
    <w:p>
      <w:pPr>
        <w:pStyle w:val="2"/>
        <w:spacing w:after="0" w:line="500" w:lineRule="exact"/>
        <w:ind w:firstLine="640" w:firstLineChars="200"/>
        <w:rPr>
          <w:rFonts w:eastAsia="方正仿宋_GBK"/>
        </w:rPr>
      </w:pPr>
      <w:r>
        <w:rPr>
          <w:rFonts w:eastAsia="方正仿宋_GBK"/>
        </w:rPr>
        <w:t>3</w:t>
      </w:r>
      <w:r>
        <w:rPr>
          <w:rFonts w:hint="eastAsia" w:eastAsia="方正仿宋_GBK"/>
        </w:rPr>
        <w:t>．数字化档案</w:t>
      </w:r>
    </w:p>
    <w:p>
      <w:pPr>
        <w:pStyle w:val="2"/>
        <w:spacing w:after="0" w:line="500" w:lineRule="exact"/>
        <w:ind w:firstLine="640" w:firstLineChars="200"/>
        <w:rPr>
          <w:rFonts w:eastAsia="方正仿宋_GBK"/>
        </w:rPr>
      </w:pPr>
      <w:r>
        <w:rPr>
          <w:rFonts w:hint="eastAsia" w:eastAsia="方正仿宋_GBK"/>
        </w:rPr>
        <w:t>项目参建各方采用接入重庆市工程项目数字化管理平台的第三方项目信息管理系统，通过应用电子签名印章技术生成的符合城建档案管理要求的项目数字化档案。</w:t>
      </w:r>
    </w:p>
    <w:p>
      <w:pPr>
        <w:adjustRightInd w:val="0"/>
        <w:snapToGrid w:val="0"/>
        <w:spacing w:line="500" w:lineRule="exact"/>
        <w:ind w:firstLine="640" w:firstLineChars="200"/>
        <w:rPr>
          <w:rFonts w:eastAsia="方正楷体_GBK"/>
        </w:rPr>
      </w:pPr>
      <w:r>
        <w:rPr>
          <w:rFonts w:hint="eastAsia" w:eastAsia="方正楷体_GBK"/>
        </w:rPr>
        <w:t>（六）缺少的计算项目规定</w:t>
      </w:r>
    </w:p>
    <w:p>
      <w:pPr>
        <w:adjustRightInd w:val="0"/>
        <w:snapToGrid w:val="0"/>
        <w:spacing w:line="500" w:lineRule="exact"/>
        <w:ind w:firstLine="640" w:firstLineChars="200"/>
        <w:rPr>
          <w:rFonts w:eastAsia="方正仿宋_GBK"/>
        </w:rPr>
      </w:pPr>
      <w:r>
        <w:rPr>
          <w:rFonts w:eastAsia="方正仿宋_GBK"/>
        </w:rPr>
        <w:t>1</w:t>
      </w:r>
      <w:r>
        <w:rPr>
          <w:rFonts w:hint="eastAsia" w:eastAsia="方正仿宋_GBK"/>
        </w:rPr>
        <w:t>．居住建筑仅公区装修时缺少的计算项目包括集成厨房、集成卫生间、干法楼地面、管线分离和管线一体化。</w:t>
      </w:r>
    </w:p>
    <w:p>
      <w:pPr>
        <w:adjustRightInd w:val="0"/>
        <w:snapToGrid w:val="0"/>
        <w:spacing w:line="500" w:lineRule="exact"/>
        <w:ind w:firstLine="640" w:firstLineChars="200"/>
        <w:rPr>
          <w:rFonts w:eastAsia="方正仿宋_GBK"/>
        </w:rPr>
      </w:pPr>
      <w:r>
        <w:rPr>
          <w:rFonts w:eastAsia="方正仿宋_GBK"/>
        </w:rPr>
        <w:t>2</w:t>
      </w:r>
      <w:r>
        <w:rPr>
          <w:rFonts w:hint="eastAsia" w:eastAsia="方正仿宋_GBK"/>
        </w:rPr>
        <w:t>．公共建筑装修区域楼地面无保温和隔声要求时</w:t>
      </w:r>
      <w:r>
        <w:rPr>
          <w:rFonts w:hint="eastAsia" w:eastAsia="方正仿宋_GBK"/>
          <w:lang w:val="en-US" w:eastAsia="zh-CN"/>
        </w:rPr>
        <w:t>可</w:t>
      </w:r>
      <w:r>
        <w:rPr>
          <w:rFonts w:hint="eastAsia" w:eastAsia="方正仿宋_GBK"/>
        </w:rPr>
        <w:t>将干法楼地面计入缺少的计算项目；仅公区装修时缺少的计算项目包括装配式吊顶、干法楼地面、</w:t>
      </w:r>
      <w:r>
        <w:rPr>
          <w:rFonts w:hint="eastAsia" w:eastAsia="方正仿宋_GBK"/>
          <w:lang w:val="en-US" w:eastAsia="zh-CN"/>
        </w:rPr>
        <w:t>装配式墙面、</w:t>
      </w:r>
      <w:r>
        <w:rPr>
          <w:rFonts w:hint="eastAsia" w:eastAsia="方正仿宋_GBK"/>
        </w:rPr>
        <w:t>管线分离和管线一体化。</w:t>
      </w:r>
    </w:p>
    <w:p>
      <w:pPr>
        <w:pStyle w:val="2"/>
        <w:spacing w:after="0" w:line="500" w:lineRule="exact"/>
        <w:ind w:firstLine="640" w:firstLineChars="200"/>
        <w:rPr>
          <w:rFonts w:eastAsia="方正仿宋_GBK"/>
        </w:rPr>
      </w:pPr>
      <w:r>
        <w:rPr>
          <w:rFonts w:eastAsia="方正仿宋_GBK"/>
        </w:rPr>
        <w:t>3</w:t>
      </w:r>
      <w:r>
        <w:rPr>
          <w:rFonts w:hint="eastAsia" w:eastAsia="方正仿宋_GBK"/>
        </w:rPr>
        <w:t>．工业建筑无装修时，将装修和设备管线全部计入缺少的计算项目。</w:t>
      </w:r>
    </w:p>
    <w:p>
      <w:pPr>
        <w:pStyle w:val="2"/>
        <w:spacing w:after="0" w:line="500" w:lineRule="exact"/>
        <w:ind w:firstLine="640" w:firstLineChars="200"/>
        <w:rPr>
          <w:rFonts w:eastAsia="方正仿宋_GBK"/>
        </w:rPr>
      </w:pPr>
    </w:p>
    <w:p>
      <w:pPr>
        <w:adjustRightInd w:val="0"/>
        <w:snapToGrid w:val="0"/>
        <w:spacing w:line="480" w:lineRule="exact"/>
        <w:ind w:left="1600" w:leftChars="200" w:hanging="960" w:hangingChars="300"/>
        <w:rPr>
          <w:rFonts w:eastAsia="方正仿宋_GBK"/>
        </w:rPr>
        <w:sectPr>
          <w:pgSz w:w="11906" w:h="16838"/>
          <w:pgMar w:top="1417" w:right="1417" w:bottom="1417" w:left="1417" w:header="851" w:footer="992" w:gutter="0"/>
          <w:pgNumType w:fmt="numberInDash"/>
          <w:cols w:space="720" w:num="1"/>
          <w:docGrid w:type="lines" w:linePitch="312" w:charSpace="0"/>
        </w:sectPr>
      </w:pPr>
      <w:r>
        <w:rPr>
          <w:rFonts w:eastAsia="方正仿宋_GBK"/>
        </w:rPr>
        <w:t>附件</w:t>
      </w:r>
      <w:r>
        <w:rPr>
          <w:rFonts w:hint="eastAsia" w:eastAsia="方正仿宋_GBK"/>
        </w:rPr>
        <w:t>：《重庆市装配式建筑装配率计算细则（</w:t>
      </w:r>
      <w:r>
        <w:rPr>
          <w:rFonts w:eastAsia="方正仿宋_GBK"/>
        </w:rPr>
        <w:t>2023</w:t>
      </w:r>
      <w:r>
        <w:rPr>
          <w:rFonts w:hint="eastAsia" w:eastAsia="方正仿宋_GBK"/>
        </w:rPr>
        <w:t>版）》修订说明</w:t>
      </w:r>
    </w:p>
    <w:p>
      <w:pPr>
        <w:adjustRightInd w:val="0"/>
        <w:snapToGrid w:val="0"/>
        <w:spacing w:line="480" w:lineRule="exact"/>
        <w:rPr>
          <w:rFonts w:ascii="方正黑体_GBK" w:eastAsia="方正黑体_GBK"/>
        </w:rPr>
      </w:pPr>
      <w:r>
        <w:rPr>
          <w:rFonts w:hint="eastAsia" w:ascii="方正黑体_GBK" w:eastAsia="方正黑体_GBK"/>
        </w:rPr>
        <w:t>附件</w:t>
      </w:r>
    </w:p>
    <w:p>
      <w:pPr>
        <w:adjustRightInd w:val="0"/>
        <w:snapToGrid w:val="0"/>
        <w:spacing w:line="480" w:lineRule="exact"/>
        <w:jc w:val="center"/>
        <w:rPr>
          <w:rFonts w:eastAsia="方正小标宋_GBK"/>
          <w:sz w:val="44"/>
          <w:szCs w:val="44"/>
        </w:rPr>
      </w:pPr>
    </w:p>
    <w:p>
      <w:pPr>
        <w:adjustRightInd w:val="0"/>
        <w:snapToGrid w:val="0"/>
        <w:spacing w:line="480" w:lineRule="exact"/>
        <w:jc w:val="center"/>
        <w:rPr>
          <w:rFonts w:eastAsia="方正小标宋_GBK"/>
          <w:sz w:val="44"/>
          <w:szCs w:val="44"/>
        </w:rPr>
      </w:pPr>
      <w:r>
        <w:rPr>
          <w:rFonts w:hint="eastAsia" w:eastAsia="方正小标宋_GBK"/>
          <w:sz w:val="44"/>
          <w:szCs w:val="44"/>
        </w:rPr>
        <w:t>重庆市装配式建筑装配率计算细则（</w:t>
      </w:r>
      <w:r>
        <w:rPr>
          <w:rFonts w:eastAsia="方正小标宋_GBK"/>
          <w:sz w:val="44"/>
          <w:szCs w:val="44"/>
        </w:rPr>
        <w:t>2023</w:t>
      </w:r>
      <w:r>
        <w:rPr>
          <w:rFonts w:hint="eastAsia" w:eastAsia="方正小标宋_GBK"/>
          <w:sz w:val="44"/>
          <w:szCs w:val="44"/>
        </w:rPr>
        <w:t>版）修订说明</w:t>
      </w:r>
    </w:p>
    <w:p>
      <w:pPr>
        <w:adjustRightInd w:val="0"/>
        <w:snapToGrid w:val="0"/>
        <w:spacing w:line="480" w:lineRule="exact"/>
        <w:ind w:firstLine="880" w:firstLineChars="200"/>
        <w:jc w:val="center"/>
        <w:rPr>
          <w:rFonts w:eastAsia="方正小标宋_GBK"/>
          <w:sz w:val="44"/>
          <w:szCs w:val="44"/>
        </w:rPr>
      </w:pPr>
    </w:p>
    <w:p>
      <w:pPr>
        <w:pStyle w:val="17"/>
        <w:spacing w:line="480" w:lineRule="exact"/>
        <w:ind w:firstLine="640" w:firstLineChars="200"/>
        <w:rPr>
          <w:rFonts w:eastAsia="方正仿宋_GBK"/>
        </w:rPr>
      </w:pPr>
      <w:r>
        <w:rPr>
          <w:rFonts w:eastAsia="方正仿宋_GBK"/>
          <w:kern w:val="2"/>
        </w:rPr>
        <w:t>2021</w:t>
      </w:r>
      <w:r>
        <w:rPr>
          <w:rFonts w:hint="eastAsia" w:eastAsia="方正仿宋_GBK"/>
          <w:kern w:val="2"/>
        </w:rPr>
        <w:t>年我委发布了《重庆市装配式建筑装配率计算细则（</w:t>
      </w:r>
      <w:r>
        <w:rPr>
          <w:rFonts w:eastAsia="方正仿宋_GBK"/>
          <w:kern w:val="2"/>
        </w:rPr>
        <w:t>2021</w:t>
      </w:r>
      <w:r>
        <w:rPr>
          <w:rFonts w:hint="eastAsia" w:eastAsia="方正仿宋_GBK"/>
          <w:kern w:val="2"/>
        </w:rPr>
        <w:t>版）》（以下简称《</w:t>
      </w:r>
      <w:r>
        <w:rPr>
          <w:rFonts w:eastAsia="方正仿宋_GBK"/>
          <w:kern w:val="2"/>
        </w:rPr>
        <w:t>细则</w:t>
      </w:r>
      <w:r>
        <w:rPr>
          <w:rFonts w:hint="eastAsia" w:eastAsia="方正仿宋_GBK"/>
          <w:kern w:val="2"/>
        </w:rPr>
        <w:t>（2021版）》），对引导我市装配式建筑技术发展和推动项目实施发挥了积极作用。但随着我市装配式建筑实施能力和产业基础的提升、行业对装配式建筑认识更加深入和装配式技术的进步，《</w:t>
      </w:r>
      <w:r>
        <w:rPr>
          <w:rFonts w:eastAsia="方正仿宋_GBK"/>
          <w:kern w:val="2"/>
        </w:rPr>
        <w:t>细则</w:t>
      </w:r>
      <w:r>
        <w:rPr>
          <w:rFonts w:hint="eastAsia" w:eastAsia="方正仿宋_GBK"/>
          <w:kern w:val="2"/>
        </w:rPr>
        <w:t>（2021版）》中部分内容不够科学合理、建筑类型的针对性不强、标准化设计约束力不够、装配化施工相对落后等问题逐渐显现出来。为进一步提高细则内容的科学性、合理性和指导性，加强标准化设计、加强数字化、绿色化与工业化融合发展，基于本市装配式建筑实践经验和实施能力，我委参考国内主要省市装配式建筑装配率计算规则，经过充分调查研究对细则进行了修订，并多次征求区县住房城乡主管部门、行业协会以及市内主要建设、设计、施工、构件生产等单位意见，形成了《重庆市装配式建筑装配率计算细则（</w:t>
      </w:r>
      <w:r>
        <w:rPr>
          <w:rFonts w:eastAsia="方正仿宋_GBK"/>
          <w:kern w:val="2"/>
        </w:rPr>
        <w:t>2023</w:t>
      </w:r>
      <w:r>
        <w:rPr>
          <w:rFonts w:hint="eastAsia" w:eastAsia="方正仿宋_GBK"/>
          <w:kern w:val="2"/>
        </w:rPr>
        <w:t>版）》</w:t>
      </w:r>
      <w:r>
        <w:rPr>
          <w:rFonts w:eastAsia="方正仿宋_GBK"/>
          <w:kern w:val="2"/>
        </w:rPr>
        <w:t>（以下简称</w:t>
      </w:r>
      <w:r>
        <w:rPr>
          <w:rFonts w:hint="eastAsia" w:eastAsia="方正仿宋_GBK"/>
          <w:kern w:val="2"/>
        </w:rPr>
        <w:t>《</w:t>
      </w:r>
      <w:r>
        <w:rPr>
          <w:rFonts w:eastAsia="方正仿宋_GBK"/>
          <w:kern w:val="2"/>
        </w:rPr>
        <w:t>细则</w:t>
      </w:r>
      <w:r>
        <w:rPr>
          <w:rFonts w:hint="eastAsia" w:eastAsia="方正仿宋_GBK"/>
          <w:kern w:val="2"/>
        </w:rPr>
        <w:t>（2023版）》</w:t>
      </w:r>
      <w:r>
        <w:rPr>
          <w:rFonts w:eastAsia="方正仿宋_GBK"/>
          <w:kern w:val="2"/>
        </w:rPr>
        <w:t>）</w:t>
      </w:r>
      <w:r>
        <w:rPr>
          <w:rFonts w:hint="eastAsia" w:eastAsia="方正仿宋_GBK"/>
          <w:kern w:val="2"/>
        </w:rPr>
        <w:t>。现将有关修订情况说明如下：</w:t>
      </w:r>
    </w:p>
    <w:p>
      <w:pPr>
        <w:pStyle w:val="17"/>
        <w:spacing w:line="480" w:lineRule="exact"/>
        <w:ind w:firstLine="640" w:firstLineChars="200"/>
        <w:rPr>
          <w:rFonts w:eastAsia="方正黑体_GBK"/>
          <w:kern w:val="2"/>
        </w:rPr>
      </w:pPr>
      <w:r>
        <w:rPr>
          <w:rFonts w:hint="eastAsia" w:eastAsia="方正黑体_GBK"/>
          <w:kern w:val="2"/>
        </w:rPr>
        <w:t>一、修订思路</w:t>
      </w:r>
    </w:p>
    <w:p>
      <w:pPr>
        <w:spacing w:line="480" w:lineRule="exact"/>
        <w:ind w:firstLine="640" w:firstLineChars="200"/>
        <w:rPr>
          <w:rFonts w:eastAsia="方正仿宋_GBK"/>
        </w:rPr>
      </w:pPr>
      <w:r>
        <w:rPr>
          <w:rFonts w:hint="eastAsia" w:eastAsia="方正仿宋_GBK"/>
        </w:rPr>
        <w:t>《</w:t>
      </w:r>
      <w:r>
        <w:rPr>
          <w:rFonts w:eastAsia="方正仿宋_GBK"/>
        </w:rPr>
        <w:t>细则</w:t>
      </w:r>
      <w:r>
        <w:rPr>
          <w:rFonts w:hint="eastAsia" w:eastAsia="方正仿宋_GBK"/>
        </w:rPr>
        <w:t>（2023版）》在与国家《装配式建筑评价标准》理念和目标保持一致的基础上，结合我市实际情况形成如下主要修订思路：</w:t>
      </w:r>
      <w:r>
        <w:rPr>
          <w:rFonts w:hint="eastAsia" w:ascii="方正黑体_GBK" w:eastAsia="方正黑体_GBK"/>
        </w:rPr>
        <w:t>一是</w:t>
      </w:r>
      <w:r>
        <w:rPr>
          <w:rFonts w:hint="eastAsia" w:eastAsia="方正仿宋_GBK"/>
        </w:rPr>
        <w:t>立足我市装配式建筑产业基础和实施能力，兼顾当前行业现状和未来发展趋势，按分门别类的原则引导装配式建筑采用适宜技术体系，提供多种合理可行的技术路线；</w:t>
      </w:r>
      <w:r>
        <w:rPr>
          <w:rFonts w:hint="eastAsia" w:ascii="方正黑体_GBK" w:eastAsia="方正黑体_GBK"/>
        </w:rPr>
        <w:t>二是</w:t>
      </w:r>
      <w:r>
        <w:rPr>
          <w:rFonts w:hint="eastAsia" w:eastAsia="方正仿宋_GBK"/>
        </w:rPr>
        <w:t>进一步加强标准化设计在装配式建筑推广中的基础性作用，促使标准化理念贯彻到方案创作源头，强化标准化设计意识；</w:t>
      </w:r>
      <w:r>
        <w:rPr>
          <w:rFonts w:hint="eastAsia" w:ascii="方正黑体_GBK" w:eastAsia="方正黑体_GBK"/>
        </w:rPr>
        <w:t>三是</w:t>
      </w:r>
      <w:r>
        <w:rPr>
          <w:rFonts w:hint="eastAsia" w:eastAsia="方正仿宋_GBK"/>
        </w:rPr>
        <w:t>将支撑体系纳入装配率计算，着力解决现场装配工艺落后的问题，体现两提两减综合效益；</w:t>
      </w:r>
      <w:r>
        <w:rPr>
          <w:rFonts w:hint="eastAsia" w:ascii="方正黑体_GBK" w:eastAsia="方正黑体_GBK"/>
        </w:rPr>
        <w:t>四是</w:t>
      </w:r>
      <w:r>
        <w:rPr>
          <w:rFonts w:hint="eastAsia" w:eastAsia="方正仿宋_GBK"/>
        </w:rPr>
        <w:t>进一步加强数字化、绿色化与工业化融合应用，促进以建筑工业化为基础的智能建造快速发展；</w:t>
      </w:r>
      <w:r>
        <w:rPr>
          <w:rFonts w:hint="eastAsia" w:ascii="方正黑体_GBK" w:eastAsia="方正黑体_GBK"/>
        </w:rPr>
        <w:t>五是</w:t>
      </w:r>
      <w:r>
        <w:rPr>
          <w:rFonts w:hint="eastAsia" w:eastAsia="方正仿宋_GBK"/>
        </w:rPr>
        <w:t>淘汰个别非装配的产业技术，推动装配式围护墙和工业化装修技术应用；</w:t>
      </w:r>
      <w:r>
        <w:rPr>
          <w:rFonts w:hint="eastAsia" w:ascii="方正黑体_GBK" w:eastAsia="方正黑体_GBK"/>
        </w:rPr>
        <w:t>六是</w:t>
      </w:r>
      <w:r>
        <w:rPr>
          <w:rFonts w:hint="eastAsia" w:eastAsia="方正仿宋_GBK"/>
        </w:rPr>
        <w:t>进一步优化规则架构，简化计算，提升细则科学性、指导性和灵活性。</w:t>
      </w:r>
    </w:p>
    <w:p>
      <w:pPr>
        <w:pStyle w:val="17"/>
        <w:spacing w:line="480" w:lineRule="exact"/>
        <w:ind w:firstLine="640" w:firstLineChars="200"/>
        <w:rPr>
          <w:rFonts w:eastAsia="方正黑体_GBK"/>
          <w:kern w:val="2"/>
        </w:rPr>
      </w:pPr>
      <w:r>
        <w:rPr>
          <w:rFonts w:hint="eastAsia" w:eastAsia="方正黑体_GBK"/>
          <w:kern w:val="2"/>
        </w:rPr>
        <w:t>二、修订的重点内容</w:t>
      </w:r>
    </w:p>
    <w:p>
      <w:pPr>
        <w:pStyle w:val="17"/>
        <w:spacing w:line="480" w:lineRule="exact"/>
        <w:ind w:firstLine="640" w:firstLineChars="200"/>
        <w:rPr>
          <w:rFonts w:eastAsia="方正楷体_GBK"/>
          <w:kern w:val="2"/>
        </w:rPr>
      </w:pPr>
      <w:r>
        <w:rPr>
          <w:rFonts w:hint="eastAsia" w:eastAsia="方正楷体_GBK"/>
          <w:kern w:val="2"/>
        </w:rPr>
        <w:t>（一）装配率计算架构</w:t>
      </w:r>
    </w:p>
    <w:p>
      <w:pPr>
        <w:adjustRightInd w:val="0"/>
        <w:snapToGrid w:val="0"/>
        <w:spacing w:line="480" w:lineRule="exact"/>
        <w:ind w:firstLine="640" w:firstLineChars="200"/>
        <w:rPr>
          <w:rFonts w:eastAsia="方正仿宋_GBK"/>
        </w:rPr>
      </w:pPr>
      <w:r>
        <w:rPr>
          <w:rFonts w:hint="eastAsia" w:eastAsia="方正仿宋_GBK"/>
        </w:rPr>
        <w:t>装配式建筑主要按建筑特征划分为三类：居住建筑、公共建筑和工业建筑。每种类型均设置标准化设计、主体结构、围护墙和内隔墙、装修和设备管线</w:t>
      </w:r>
      <w:r>
        <w:rPr>
          <w:rFonts w:eastAsia="方正仿宋_GBK"/>
        </w:rPr>
        <w:t>4</w:t>
      </w:r>
      <w:r>
        <w:rPr>
          <w:rFonts w:hint="eastAsia" w:eastAsia="方正仿宋_GBK"/>
        </w:rPr>
        <w:t>个基本项，智能建造作为加分项，</w:t>
      </w:r>
      <w:r>
        <w:rPr>
          <w:rFonts w:eastAsia="方正仿宋_GBK"/>
        </w:rPr>
        <w:t>4</w:t>
      </w:r>
      <w:r>
        <w:rPr>
          <w:rFonts w:hint="eastAsia" w:eastAsia="方正仿宋_GBK"/>
        </w:rPr>
        <w:t>个基本项总分值保持</w:t>
      </w:r>
      <w:r>
        <w:rPr>
          <w:rFonts w:eastAsia="方正仿宋_GBK"/>
        </w:rPr>
        <w:t>100</w:t>
      </w:r>
      <w:r>
        <w:rPr>
          <w:rFonts w:hint="eastAsia" w:eastAsia="方正仿宋_GBK"/>
        </w:rPr>
        <w:t>分不变。修订原因：</w:t>
      </w:r>
      <w:r>
        <w:rPr>
          <w:rFonts w:hint="eastAsia" w:ascii="方正黑体_GBK" w:eastAsia="方正黑体_GBK"/>
        </w:rPr>
        <w:t>一是</w:t>
      </w:r>
      <w:r>
        <w:rPr>
          <w:rFonts w:hint="eastAsia" w:eastAsia="方正仿宋_GBK"/>
        </w:rPr>
        <w:t>强化标准化设计、装配化施工、工业化装修的需要；</w:t>
      </w:r>
      <w:r>
        <w:rPr>
          <w:rFonts w:hint="eastAsia" w:ascii="方正黑体_GBK" w:eastAsia="方正黑体_GBK"/>
        </w:rPr>
        <w:t>二是</w:t>
      </w:r>
      <w:r>
        <w:rPr>
          <w:rFonts w:hint="eastAsia" w:eastAsia="方正仿宋_GBK"/>
        </w:rPr>
        <w:t>进一步引导装配式技术系统性应用，促进设计建造一体化的需要；</w:t>
      </w:r>
      <w:r>
        <w:rPr>
          <w:rFonts w:hint="eastAsia" w:ascii="方正黑体_GBK" w:eastAsia="方正黑体_GBK"/>
        </w:rPr>
        <w:t>三是</w:t>
      </w:r>
      <w:r>
        <w:rPr>
          <w:rFonts w:hint="eastAsia" w:eastAsia="方正仿宋_GBK"/>
        </w:rPr>
        <w:t>促进绿色化、数字化与建筑工业化融合，提升建筑品质和建造效率的需要。</w:t>
      </w:r>
    </w:p>
    <w:p>
      <w:pPr>
        <w:adjustRightInd w:val="0"/>
        <w:snapToGrid w:val="0"/>
        <w:spacing w:line="480" w:lineRule="exact"/>
        <w:ind w:firstLine="640" w:firstLineChars="200"/>
        <w:contextualSpacing/>
        <w:rPr>
          <w:rFonts w:eastAsia="方正楷体_GBK"/>
        </w:rPr>
      </w:pPr>
      <w:r>
        <w:rPr>
          <w:rFonts w:hint="eastAsia" w:eastAsia="方正楷体_GBK"/>
        </w:rPr>
        <w:t>（二）装配率计算一般规定</w:t>
      </w:r>
    </w:p>
    <w:p>
      <w:pPr>
        <w:adjustRightInd w:val="0"/>
        <w:snapToGrid w:val="0"/>
        <w:spacing w:line="500" w:lineRule="exact"/>
        <w:ind w:firstLine="640" w:firstLineChars="200"/>
        <w:rPr>
          <w:rFonts w:eastAsia="方正仿宋_GBK"/>
        </w:rPr>
      </w:pPr>
      <w:r>
        <w:rPr>
          <w:rFonts w:hint="eastAsia" w:eastAsia="方正仿宋_GBK"/>
        </w:rPr>
        <w:t>根据《细则（</w:t>
      </w:r>
      <w:r>
        <w:rPr>
          <w:rFonts w:eastAsia="方正仿宋_GBK"/>
        </w:rPr>
        <w:t>2021</w:t>
      </w:r>
      <w:r>
        <w:rPr>
          <w:rFonts w:hint="eastAsia" w:eastAsia="方正仿宋_GBK"/>
        </w:rPr>
        <w:t>版）》在执行过程中遇到的一些特殊问题，计算细则修订内容有：</w:t>
      </w:r>
      <w:r>
        <w:rPr>
          <w:rFonts w:hint="eastAsia" w:ascii="方正黑体_GBK" w:eastAsia="方正黑体_GBK"/>
        </w:rPr>
        <w:t>一是</w:t>
      </w:r>
      <w:r>
        <w:rPr>
          <w:rFonts w:hint="eastAsia" w:eastAsia="方正仿宋_GBK"/>
        </w:rPr>
        <w:t>明确单体建筑装配率计算范围为正负零标高以上部分，避免山地建筑地上地下界定的复杂性；</w:t>
      </w:r>
      <w:r>
        <w:rPr>
          <w:rFonts w:hint="eastAsia" w:ascii="方正黑体_GBK" w:eastAsia="方正黑体_GBK"/>
        </w:rPr>
        <w:t>二是</w:t>
      </w:r>
      <w:r>
        <w:rPr>
          <w:rFonts w:hint="eastAsia" w:eastAsia="方正仿宋_GBK"/>
        </w:rPr>
        <w:t>单体建筑允许根据部分区域的建筑功能和结构形式不同，选择不同建筑类型计分规则按加权平均方法计算装配率；</w:t>
      </w:r>
      <w:r>
        <w:rPr>
          <w:rFonts w:hint="eastAsia" w:ascii="方正黑体_GBK" w:eastAsia="方正黑体_GBK"/>
        </w:rPr>
        <w:t>三是</w:t>
      </w:r>
      <w:r>
        <w:rPr>
          <w:rFonts w:hint="eastAsia" w:eastAsia="方正仿宋_GBK"/>
        </w:rPr>
        <w:t>允许居住建筑与公共建筑之间针对主体结构互换</w:t>
      </w:r>
      <w:r>
        <w:rPr>
          <w:rFonts w:hint="eastAsia" w:eastAsia="方正仿宋_GBK"/>
          <w:lang w:val="en-US" w:eastAsia="zh-CN"/>
        </w:rPr>
        <w:t>计算规则</w:t>
      </w:r>
      <w:r>
        <w:rPr>
          <w:rFonts w:hint="eastAsia" w:eastAsia="方正仿宋_GBK"/>
        </w:rPr>
        <w:t>，以更好匹配主体结构的适宜技术体系；</w:t>
      </w:r>
      <w:r>
        <w:rPr>
          <w:rFonts w:hint="eastAsia" w:ascii="方正黑体_GBK" w:eastAsia="方正黑体_GBK"/>
        </w:rPr>
        <w:t>四是</w:t>
      </w:r>
      <w:r>
        <w:rPr>
          <w:rFonts w:hint="eastAsia" w:eastAsia="方正仿宋_GBK"/>
        </w:rPr>
        <w:t>明确了主体结构可扣除的范围，不再引用规范条文以避免争议；</w:t>
      </w:r>
      <w:r>
        <w:rPr>
          <w:rFonts w:hint="eastAsia" w:ascii="方正黑体_GBK" w:eastAsia="方正黑体_GBK"/>
        </w:rPr>
        <w:t>五是</w:t>
      </w:r>
      <w:r>
        <w:rPr>
          <w:rFonts w:hint="eastAsia" w:eastAsia="方正仿宋_GBK"/>
        </w:rPr>
        <w:t>提出特殊类型公共建筑当存在结构适宜装配区域不足时允许用地下车库等适宜装配区域补充或替换，或通过提高工业化内装修实施要求相应</w:t>
      </w:r>
      <w:r>
        <w:rPr>
          <w:rFonts w:hint="eastAsia" w:eastAsia="方正仿宋_GBK"/>
          <w:lang w:val="en-US" w:eastAsia="zh-CN"/>
        </w:rPr>
        <w:t>补充或替换</w:t>
      </w:r>
      <w:r>
        <w:rPr>
          <w:rFonts w:hint="eastAsia" w:eastAsia="方正仿宋_GBK"/>
        </w:rPr>
        <w:t>主体结构分值的解决办法；</w:t>
      </w:r>
      <w:r>
        <w:rPr>
          <w:rFonts w:hint="eastAsia" w:eastAsia="方正仿宋_GBK"/>
          <w:highlight w:val="none"/>
        </w:rPr>
        <w:t>对于一些小型公共建筑，当单体建筑面积不足</w:t>
      </w:r>
      <w:r>
        <w:rPr>
          <w:rFonts w:eastAsia="方正仿宋_GBK"/>
          <w:highlight w:val="none"/>
        </w:rPr>
        <w:t>2000m</w:t>
      </w:r>
      <w:r>
        <w:rPr>
          <w:rFonts w:eastAsia="方正仿宋_GBK"/>
          <w:highlight w:val="none"/>
          <w:vertAlign w:val="superscript"/>
        </w:rPr>
        <w:t>2</w:t>
      </w:r>
      <w:r>
        <w:rPr>
          <w:rFonts w:hint="eastAsia" w:eastAsia="方正仿宋_GBK"/>
          <w:highlight w:val="none"/>
        </w:rPr>
        <w:t>时按照《重庆市住房和城乡建设委员会关于执行绿色建筑相关地方标准有关事项的通知》（渝建绿建〔</w:t>
      </w:r>
      <w:r>
        <w:rPr>
          <w:rFonts w:eastAsia="方正仿宋_GBK"/>
          <w:highlight w:val="none"/>
        </w:rPr>
        <w:t>2020</w:t>
      </w:r>
      <w:r>
        <w:rPr>
          <w:rFonts w:hint="eastAsia" w:eastAsia="方正仿宋_GBK"/>
          <w:highlight w:val="none"/>
        </w:rPr>
        <w:t>〕</w:t>
      </w:r>
      <w:r>
        <w:rPr>
          <w:rFonts w:eastAsia="方正仿宋_GBK"/>
          <w:highlight w:val="none"/>
        </w:rPr>
        <w:t>16</w:t>
      </w:r>
      <w:r>
        <w:rPr>
          <w:rFonts w:hint="eastAsia" w:eastAsia="方正仿宋_GBK"/>
          <w:highlight w:val="none"/>
        </w:rPr>
        <w:t>号）执行有关装配式要求即可。</w:t>
      </w:r>
    </w:p>
    <w:p>
      <w:pPr>
        <w:pStyle w:val="2"/>
        <w:spacing w:after="0" w:line="500" w:lineRule="exact"/>
      </w:pPr>
      <w:r>
        <w:rPr>
          <w:rFonts w:eastAsia="方正仿宋_GBK"/>
        </w:rPr>
        <w:t xml:space="preserve">    </w:t>
      </w:r>
      <w:r>
        <w:rPr>
          <w:rFonts w:hint="eastAsia" w:eastAsia="方正仿宋_GBK"/>
        </w:rPr>
        <w:t>渝东北三峡库区城镇群、渝东南武陵山区城镇群各区县可根据自身产业基础和发展实际，优化完善计算细则执行要求，报市住房城乡建委备案后，可在各自行政区域内执行。</w:t>
      </w:r>
    </w:p>
    <w:p>
      <w:pPr>
        <w:adjustRightInd w:val="0"/>
        <w:snapToGrid w:val="0"/>
        <w:spacing w:line="500" w:lineRule="exact"/>
        <w:ind w:firstLine="640" w:firstLineChars="200"/>
        <w:contextualSpacing/>
        <w:rPr>
          <w:rFonts w:eastAsia="方正楷体_GBK"/>
        </w:rPr>
      </w:pPr>
      <w:r>
        <w:rPr>
          <w:rFonts w:hint="eastAsia" w:eastAsia="方正楷体_GBK"/>
        </w:rPr>
        <w:t>（三）具体内容修订</w:t>
      </w:r>
    </w:p>
    <w:p>
      <w:pPr>
        <w:adjustRightInd w:val="0"/>
        <w:snapToGrid w:val="0"/>
        <w:spacing w:line="480" w:lineRule="exact"/>
        <w:ind w:firstLine="640" w:firstLineChars="200"/>
        <w:contextualSpacing/>
        <w:rPr>
          <w:rFonts w:eastAsia="方正楷体_GBK"/>
        </w:rPr>
      </w:pPr>
      <w:r>
        <w:rPr>
          <w:rFonts w:eastAsia="方正楷体_GBK"/>
        </w:rPr>
        <w:t>1</w:t>
      </w:r>
      <w:r>
        <w:rPr>
          <w:rFonts w:hint="eastAsia" w:eastAsia="方正楷体_GBK"/>
        </w:rPr>
        <w:t>．标准化设计</w:t>
      </w:r>
    </w:p>
    <w:p>
      <w:pPr>
        <w:adjustRightInd w:val="0"/>
        <w:snapToGrid w:val="0"/>
        <w:spacing w:line="480" w:lineRule="exact"/>
        <w:ind w:firstLine="640" w:firstLineChars="200"/>
        <w:contextualSpacing/>
        <w:rPr>
          <w:rFonts w:eastAsia="方正仿宋_GBK"/>
        </w:rPr>
      </w:pPr>
      <w:r>
        <w:rPr>
          <w:rFonts w:hint="eastAsia" w:eastAsia="方正仿宋_GBK"/>
        </w:rPr>
        <w:t>本次标准化设计在</w:t>
      </w:r>
      <w:r>
        <w:rPr>
          <w:rFonts w:eastAsia="方正仿宋_GBK"/>
        </w:rPr>
        <w:t>21</w:t>
      </w:r>
      <w:r>
        <w:rPr>
          <w:rFonts w:hint="eastAsia" w:eastAsia="方正仿宋_GBK"/>
        </w:rPr>
        <w:t>版细则按项目计算预制构件重复性基础之上，进一步加强贯彻标准化设计和部品通用化理念，增加了模数和通用化构件计分项目，同时扩大了标准化部品部件计算范围，除主体结构外纳入了装配式围护结构预制</w:t>
      </w:r>
      <w:r>
        <w:rPr>
          <w:rFonts w:hint="eastAsia" w:eastAsia="方正仿宋_GBK"/>
          <w:lang w:val="en-US" w:eastAsia="zh-CN"/>
        </w:rPr>
        <w:t>混凝土</w:t>
      </w:r>
      <w:r>
        <w:rPr>
          <w:rFonts w:hint="eastAsia" w:eastAsia="方正仿宋_GBK"/>
        </w:rPr>
        <w:t>构件。</w:t>
      </w:r>
    </w:p>
    <w:p>
      <w:pPr>
        <w:adjustRightInd w:val="0"/>
        <w:snapToGrid w:val="0"/>
        <w:spacing w:line="480" w:lineRule="exact"/>
        <w:ind w:firstLine="640" w:firstLineChars="200"/>
        <w:contextualSpacing/>
        <w:rPr>
          <w:rFonts w:eastAsia="方正楷体_GBK"/>
        </w:rPr>
      </w:pPr>
      <w:r>
        <w:rPr>
          <w:rFonts w:eastAsia="方正楷体_GBK"/>
        </w:rPr>
        <w:t>2</w:t>
      </w:r>
      <w:r>
        <w:rPr>
          <w:rFonts w:hint="eastAsia" w:eastAsia="方正楷体_GBK"/>
        </w:rPr>
        <w:t>．主体结构</w:t>
      </w:r>
    </w:p>
    <w:p>
      <w:pPr>
        <w:adjustRightInd w:val="0"/>
        <w:snapToGrid w:val="0"/>
        <w:spacing w:line="480" w:lineRule="exact"/>
        <w:ind w:firstLine="640" w:firstLineChars="200"/>
        <w:contextualSpacing/>
        <w:rPr>
          <w:rFonts w:eastAsia="方正仿宋_GBK"/>
        </w:rPr>
      </w:pPr>
      <w:r>
        <w:rPr>
          <w:rFonts w:hint="eastAsia" w:eastAsia="方正仿宋_GBK"/>
        </w:rPr>
        <w:t>（</w:t>
      </w:r>
      <w:r>
        <w:rPr>
          <w:rFonts w:eastAsia="方正仿宋_GBK"/>
        </w:rPr>
        <w:t>1</w:t>
      </w:r>
      <w:r>
        <w:rPr>
          <w:rFonts w:hint="eastAsia" w:eastAsia="方正仿宋_GBK"/>
        </w:rPr>
        <w:t>）计算细则居住建筑是按剪力墙结构特征，公共建筑和工业建筑是按框架（或框架</w:t>
      </w:r>
      <w:r>
        <w:rPr>
          <w:rFonts w:eastAsia="方正仿宋_GBK"/>
        </w:rPr>
        <w:t>-</w:t>
      </w:r>
      <w:r>
        <w:rPr>
          <w:rFonts w:hint="eastAsia" w:eastAsia="方正仿宋_GBK"/>
        </w:rPr>
        <w:t>剪力墙）结构特征制定的计算规则，当居住建筑采用类框架结构、公共建筑采用剪力墙结构时可互换。</w:t>
      </w:r>
    </w:p>
    <w:p>
      <w:pPr>
        <w:adjustRightInd w:val="0"/>
        <w:snapToGrid w:val="0"/>
        <w:spacing w:line="480" w:lineRule="exact"/>
        <w:ind w:firstLine="640" w:firstLineChars="200"/>
        <w:contextualSpacing/>
        <w:rPr>
          <w:rFonts w:eastAsia="方正仿宋_GBK"/>
        </w:rPr>
      </w:pPr>
      <w:r>
        <w:rPr>
          <w:rFonts w:hint="eastAsia" w:eastAsia="方正仿宋_GBK"/>
        </w:rPr>
        <w:t>（</w:t>
      </w:r>
      <w:r>
        <w:rPr>
          <w:rFonts w:eastAsia="方正仿宋_GBK"/>
        </w:rPr>
        <w:t>2</w:t>
      </w:r>
      <w:r>
        <w:rPr>
          <w:rFonts w:hint="eastAsia" w:eastAsia="方正仿宋_GBK"/>
        </w:rPr>
        <w:t>）提高竖向预制构件应用起步比例并优化计算规则。修订原因：</w:t>
      </w:r>
      <w:r>
        <w:rPr>
          <w:rFonts w:hint="eastAsia" w:ascii="方正黑体_GBK" w:eastAsia="方正黑体_GBK"/>
        </w:rPr>
        <w:t>一是</w:t>
      </w:r>
      <w:r>
        <w:rPr>
          <w:rFonts w:hint="eastAsia" w:eastAsia="方正仿宋_GBK"/>
        </w:rPr>
        <w:t>经过</w:t>
      </w:r>
      <w:r>
        <w:rPr>
          <w:rFonts w:eastAsia="方正仿宋_GBK"/>
        </w:rPr>
        <w:t>2</w:t>
      </w:r>
      <w:r>
        <w:rPr>
          <w:rFonts w:hint="eastAsia" w:eastAsia="方正仿宋_GBK"/>
        </w:rPr>
        <w:t>年多的实践应用，竖向预制构件技术较成熟，实施能力较好；</w:t>
      </w:r>
      <w:r>
        <w:rPr>
          <w:rFonts w:hint="eastAsia" w:ascii="方正黑体_GBK" w:eastAsia="方正黑体_GBK"/>
        </w:rPr>
        <w:t>二是</w:t>
      </w:r>
      <w:r>
        <w:rPr>
          <w:rFonts w:hint="eastAsia" w:eastAsia="方正仿宋_GBK"/>
        </w:rPr>
        <w:t>实践证明，竖向预制构件应用比例太低，技术体系不合理；</w:t>
      </w:r>
      <w:r>
        <w:rPr>
          <w:rFonts w:hint="eastAsia" w:ascii="方正黑体_GBK" w:eastAsia="方正黑体_GBK"/>
        </w:rPr>
        <w:t>三是</w:t>
      </w:r>
      <w:r>
        <w:rPr>
          <w:rFonts w:hint="eastAsia" w:eastAsia="方正仿宋_GBK"/>
        </w:rPr>
        <w:t>根据不同结构体系的构件体积占比，并考虑与水平构件的匹配性科学调整了指标和分值。</w:t>
      </w:r>
    </w:p>
    <w:p>
      <w:pPr>
        <w:pStyle w:val="17"/>
        <w:spacing w:line="480" w:lineRule="exact"/>
        <w:ind w:firstLine="640" w:firstLineChars="200"/>
        <w:rPr>
          <w:rFonts w:eastAsia="方正仿宋_GBK"/>
          <w:kern w:val="2"/>
        </w:rPr>
      </w:pPr>
      <w:r>
        <w:rPr>
          <w:rFonts w:hint="eastAsia" w:eastAsia="方正仿宋_GBK"/>
          <w:kern w:val="2"/>
        </w:rPr>
        <w:t>（</w:t>
      </w:r>
      <w:r>
        <w:rPr>
          <w:rFonts w:eastAsia="方正仿宋_GBK"/>
          <w:kern w:val="2"/>
        </w:rPr>
        <w:t>3</w:t>
      </w:r>
      <w:r>
        <w:rPr>
          <w:rFonts w:hint="eastAsia" w:eastAsia="方正仿宋_GBK"/>
          <w:kern w:val="2"/>
        </w:rPr>
        <w:t>）调整预制梁计算分值。</w:t>
      </w:r>
      <w:r>
        <w:rPr>
          <w:rFonts w:hint="eastAsia" w:eastAsia="方正仿宋_GBK"/>
        </w:rPr>
        <w:t>修订原因：</w:t>
      </w:r>
      <w:r>
        <w:rPr>
          <w:rFonts w:hint="eastAsia" w:ascii="方正黑体_GBK" w:eastAsia="方正黑体_GBK"/>
          <w:kern w:val="2"/>
        </w:rPr>
        <w:t>一是</w:t>
      </w:r>
      <w:r>
        <w:rPr>
          <w:rFonts w:hint="eastAsia" w:eastAsia="方正仿宋_GBK"/>
        </w:rPr>
        <w:t>现浇梁是横在预制竖向构件与预制板之间的装配技术障碍，应重点推行</w:t>
      </w:r>
      <w:r>
        <w:rPr>
          <w:rFonts w:hint="eastAsia" w:eastAsia="方正仿宋_GBK"/>
          <w:lang w:val="en-US" w:eastAsia="zh-CN"/>
        </w:rPr>
        <w:t>预制</w:t>
      </w:r>
      <w:bookmarkStart w:id="4" w:name="_GoBack"/>
      <w:bookmarkEnd w:id="4"/>
      <w:r>
        <w:rPr>
          <w:rFonts w:hint="eastAsia" w:eastAsia="方正仿宋_GBK"/>
          <w:lang w:val="en-US" w:eastAsia="zh-CN"/>
        </w:rPr>
        <w:t>梁</w:t>
      </w:r>
      <w:r>
        <w:rPr>
          <w:rFonts w:hint="eastAsia" w:eastAsia="方正仿宋_GBK"/>
        </w:rPr>
        <w:t>以解决建造效率问题，特别是框架结构应严格按照“先水平后竖向”的原则实施预制装配；</w:t>
      </w:r>
      <w:r>
        <w:rPr>
          <w:rFonts w:hint="eastAsia" w:ascii="方正黑体_GBK" w:eastAsia="方正黑体_GBK"/>
          <w:kern w:val="2"/>
        </w:rPr>
        <w:t>二是</w:t>
      </w:r>
      <w:r>
        <w:rPr>
          <w:rFonts w:hint="eastAsia" w:eastAsia="方正仿宋_GBK"/>
        </w:rPr>
        <w:t>楼层梁构件体积占比较高，在框架结构中的占比超过</w:t>
      </w:r>
      <w:r>
        <w:rPr>
          <w:rFonts w:eastAsia="方正仿宋_GBK"/>
        </w:rPr>
        <w:t>50%</w:t>
      </w:r>
      <w:r>
        <w:rPr>
          <w:rFonts w:hint="eastAsia" w:eastAsia="方正仿宋_GBK"/>
        </w:rPr>
        <w:t>，在我市剪力墙结构中也超过了</w:t>
      </w:r>
      <w:r>
        <w:rPr>
          <w:rFonts w:eastAsia="方正仿宋_GBK"/>
        </w:rPr>
        <w:t>20%</w:t>
      </w:r>
      <w:r>
        <w:rPr>
          <w:rFonts w:hint="eastAsia" w:eastAsia="方正仿宋_GBK"/>
        </w:rPr>
        <w:t>，故不宜与水平板类预制构件采用</w:t>
      </w:r>
      <w:r>
        <w:rPr>
          <w:rFonts w:hint="eastAsia" w:eastAsia="方正仿宋_GBK"/>
          <w:lang w:val="en-US" w:eastAsia="zh-CN"/>
        </w:rPr>
        <w:t>相同</w:t>
      </w:r>
      <w:r>
        <w:rPr>
          <w:rFonts w:hint="eastAsia" w:eastAsia="方正仿宋_GBK"/>
        </w:rPr>
        <w:t>计算规则；</w:t>
      </w:r>
      <w:r>
        <w:rPr>
          <w:rFonts w:hint="eastAsia" w:ascii="方正黑体_GBK" w:eastAsia="方正黑体_GBK"/>
          <w:kern w:val="2"/>
        </w:rPr>
        <w:t>三是</w:t>
      </w:r>
      <w:r>
        <w:rPr>
          <w:rFonts w:hint="eastAsia" w:eastAsia="方正仿宋_GBK"/>
        </w:rPr>
        <w:t>充分考虑到预制梁的实施难度，故在剪力墙结构中给予较低比例和分值以鼓励在适宜部位应用，在典型框架特征的结构中给予较高比例和分值，以更大力度引导装配式技术系统化应用</w:t>
      </w:r>
      <w:r>
        <w:rPr>
          <w:rFonts w:hint="eastAsia" w:eastAsia="方正仿宋_GBK"/>
          <w:kern w:val="2"/>
        </w:rPr>
        <w:t>。</w:t>
      </w:r>
    </w:p>
    <w:p>
      <w:pPr>
        <w:adjustRightInd w:val="0"/>
        <w:snapToGrid w:val="0"/>
        <w:spacing w:line="480" w:lineRule="exact"/>
        <w:ind w:firstLine="640" w:firstLineChars="200"/>
        <w:contextualSpacing/>
        <w:rPr>
          <w:rFonts w:eastAsia="方正仿宋_GBK"/>
        </w:rPr>
      </w:pPr>
      <w:r>
        <w:rPr>
          <w:rFonts w:hint="eastAsia" w:eastAsia="方正仿宋_GBK"/>
        </w:rPr>
        <w:t>（</w:t>
      </w:r>
      <w:r>
        <w:rPr>
          <w:rFonts w:eastAsia="方正仿宋_GBK"/>
        </w:rPr>
        <w:t>4</w:t>
      </w:r>
      <w:r>
        <w:rPr>
          <w:rFonts w:hint="eastAsia" w:eastAsia="方正仿宋_GBK"/>
        </w:rPr>
        <w:t>）优化板类预制构件计算规则和分值。修订原因：</w:t>
      </w:r>
      <w:r>
        <w:rPr>
          <w:rFonts w:hint="eastAsia" w:ascii="方正黑体_GBK" w:eastAsia="方正黑体_GBK"/>
        </w:rPr>
        <w:t>一是</w:t>
      </w:r>
      <w:r>
        <w:rPr>
          <w:rFonts w:hint="eastAsia" w:eastAsia="方正仿宋_GBK"/>
        </w:rPr>
        <w:t>预制梁单独作为计算项目后应从楼板计算项目中扣除投影面积；</w:t>
      </w:r>
      <w:r>
        <w:rPr>
          <w:rFonts w:hint="eastAsia" w:ascii="方正黑体_GBK" w:eastAsia="方正黑体_GBK"/>
        </w:rPr>
        <w:t>二是</w:t>
      </w:r>
      <w:r>
        <w:rPr>
          <w:rFonts w:hint="eastAsia" w:eastAsia="方正仿宋_GBK"/>
        </w:rPr>
        <w:t>扣除较大洞口面积可解决一些因架空开洞等特殊原因无法满足预制楼板最低比例的问题；</w:t>
      </w:r>
      <w:r>
        <w:rPr>
          <w:rFonts w:hint="eastAsia" w:ascii="方正黑体_GBK" w:eastAsia="方正黑体_GBK"/>
        </w:rPr>
        <w:t>三是</w:t>
      </w:r>
      <w:r>
        <w:rPr>
          <w:rFonts w:hint="eastAsia" w:eastAsia="方正仿宋_GBK"/>
        </w:rPr>
        <w:t>我市板类预制构件种类逐渐丰富，优化调整规则后能更好适应不同装配式楼板的比例计算；</w:t>
      </w:r>
      <w:r>
        <w:rPr>
          <w:rFonts w:hint="eastAsia" w:ascii="方正黑体_GBK" w:eastAsia="方正黑体_GBK"/>
        </w:rPr>
        <w:t>四是</w:t>
      </w:r>
      <w:r>
        <w:rPr>
          <w:rFonts w:hint="eastAsia" w:eastAsia="方正仿宋_GBK"/>
        </w:rPr>
        <w:t>我市装配式楼板实施能力较强，产业基础较好，进一步巩固装配式楼板的应用符合行业发展需要。</w:t>
      </w:r>
    </w:p>
    <w:p>
      <w:pPr>
        <w:pStyle w:val="2"/>
        <w:spacing w:after="0" w:line="480" w:lineRule="exact"/>
        <w:rPr>
          <w:rFonts w:eastAsia="方正仿宋_GBK"/>
        </w:rPr>
      </w:pPr>
      <w:r>
        <w:rPr>
          <w:rFonts w:eastAsia="方正仿宋_GBK"/>
        </w:rPr>
        <w:t xml:space="preserve">    </w:t>
      </w:r>
      <w:r>
        <w:rPr>
          <w:rFonts w:hint="eastAsia" w:eastAsia="方正仿宋_GBK"/>
        </w:rPr>
        <w:t>（</w:t>
      </w:r>
      <w:r>
        <w:rPr>
          <w:rFonts w:eastAsia="方正仿宋_GBK"/>
        </w:rPr>
        <w:t>5</w:t>
      </w:r>
      <w:r>
        <w:rPr>
          <w:rFonts w:hint="eastAsia" w:eastAsia="方正仿宋_GBK"/>
        </w:rPr>
        <w:t>）增设支撑系统计算项目。修订原因：</w:t>
      </w:r>
      <w:r>
        <w:rPr>
          <w:rFonts w:hint="eastAsia" w:ascii="方正黑体_GBK" w:eastAsia="方正黑体_GBK"/>
        </w:rPr>
        <w:t>一是</w:t>
      </w:r>
      <w:r>
        <w:rPr>
          <w:rFonts w:hint="eastAsia" w:eastAsia="方正仿宋_GBK"/>
        </w:rPr>
        <w:t>促进装配式建筑建造阶段采用装配化施工工艺，提升装配效率和施工作业环境，减少人工和污染；</w:t>
      </w:r>
      <w:r>
        <w:rPr>
          <w:rFonts w:hint="eastAsia" w:ascii="方正黑体_GBK" w:eastAsia="方正黑体_GBK"/>
        </w:rPr>
        <w:t>二是</w:t>
      </w:r>
      <w:r>
        <w:rPr>
          <w:rFonts w:hint="eastAsia" w:eastAsia="方正仿宋_GBK"/>
        </w:rPr>
        <w:t>延续高精度模板在高层居住建筑中应用的成功经验；</w:t>
      </w:r>
      <w:r>
        <w:rPr>
          <w:rFonts w:hint="eastAsia" w:ascii="方正黑体_GBK" w:eastAsia="方正黑体_GBK"/>
        </w:rPr>
        <w:t>三是</w:t>
      </w:r>
      <w:r>
        <w:rPr>
          <w:rFonts w:hint="eastAsia" w:eastAsia="方正仿宋_GBK"/>
        </w:rPr>
        <w:t>为各类建筑提供更多支撑系统选择，避免在不适宜场合使用高精度模板成本偏高；</w:t>
      </w:r>
      <w:r>
        <w:rPr>
          <w:rFonts w:hint="eastAsia" w:ascii="方正黑体_GBK" w:eastAsia="方正黑体_GBK"/>
        </w:rPr>
        <w:t>四是</w:t>
      </w:r>
      <w:r>
        <w:rPr>
          <w:rFonts w:hint="eastAsia" w:eastAsia="方正仿宋_GBK"/>
        </w:rPr>
        <w:t>推动装配式支撑系统应用，可全面提升设计和施工一体化的实施能力。</w:t>
      </w:r>
    </w:p>
    <w:p>
      <w:pPr>
        <w:pStyle w:val="17"/>
        <w:spacing w:line="480" w:lineRule="exact"/>
        <w:ind w:firstLine="640" w:firstLineChars="200"/>
        <w:rPr>
          <w:rFonts w:eastAsia="方正楷体_GBK"/>
          <w:kern w:val="2"/>
        </w:rPr>
      </w:pPr>
      <w:r>
        <w:rPr>
          <w:rFonts w:eastAsia="方正楷体_GBK"/>
          <w:kern w:val="2"/>
        </w:rPr>
        <w:t>3</w:t>
      </w:r>
      <w:r>
        <w:rPr>
          <w:rFonts w:hint="eastAsia" w:eastAsia="方正楷体_GBK"/>
          <w:kern w:val="2"/>
        </w:rPr>
        <w:t>．围护墙</w:t>
      </w:r>
    </w:p>
    <w:p>
      <w:pPr>
        <w:adjustRightInd w:val="0"/>
        <w:snapToGrid w:val="0"/>
        <w:spacing w:line="480" w:lineRule="exact"/>
        <w:ind w:firstLine="640" w:firstLineChars="200"/>
        <w:contextualSpacing/>
        <w:rPr>
          <w:rFonts w:eastAsia="方正仿宋_GBK"/>
        </w:rPr>
      </w:pPr>
      <w:r>
        <w:rPr>
          <w:rFonts w:hint="eastAsia" w:eastAsia="方正仿宋_GBK"/>
        </w:rPr>
        <w:t>（</w:t>
      </w:r>
      <w:r>
        <w:rPr>
          <w:rFonts w:eastAsia="方正仿宋_GBK"/>
        </w:rPr>
        <w:t>1</w:t>
      </w:r>
      <w:r>
        <w:rPr>
          <w:rFonts w:hint="eastAsia" w:eastAsia="方正仿宋_GBK"/>
        </w:rPr>
        <w:t>）计算细则取消了精确砌块砌体自保温外墙得分项，保留</w:t>
      </w:r>
      <w:r>
        <w:rPr>
          <w:rFonts w:hint="eastAsia" w:eastAsia="方正仿宋_GBK"/>
          <w:highlight w:val="none"/>
        </w:rPr>
        <w:t>全现浇混凝土外墙</w:t>
      </w:r>
      <w:r>
        <w:rPr>
          <w:rFonts w:hint="eastAsia" w:eastAsia="方正仿宋_GBK"/>
          <w:highlight w:val="none"/>
          <w:lang w:val="en-US" w:eastAsia="zh-CN"/>
        </w:rPr>
        <w:t>作</w:t>
      </w:r>
      <w:r>
        <w:rPr>
          <w:rFonts w:hint="eastAsia" w:eastAsia="方正仿宋_GBK"/>
          <w:highlight w:val="none"/>
        </w:rPr>
        <w:t>为</w:t>
      </w:r>
      <w:r>
        <w:rPr>
          <w:rFonts w:hint="eastAsia" w:eastAsia="方正仿宋_GBK"/>
          <w:highlight w:val="none"/>
          <w:lang w:val="en-US" w:eastAsia="zh-CN"/>
        </w:rPr>
        <w:t>非砌筑</w:t>
      </w:r>
      <w:r>
        <w:rPr>
          <w:rFonts w:hint="eastAsia" w:eastAsia="方正仿宋_GBK"/>
          <w:highlight w:val="none"/>
        </w:rPr>
        <w:t>技术。</w:t>
      </w:r>
      <w:r>
        <w:rPr>
          <w:rFonts w:hint="eastAsia" w:eastAsia="方正仿宋_GBK"/>
        </w:rPr>
        <w:t>修订原因：</w:t>
      </w:r>
      <w:r>
        <w:rPr>
          <w:rFonts w:hint="eastAsia" w:ascii="方正黑体_GBK" w:eastAsia="方正黑体_GBK"/>
        </w:rPr>
        <w:t>一是</w:t>
      </w:r>
      <w:r>
        <w:rPr>
          <w:rFonts w:hint="eastAsia" w:eastAsia="方正仿宋_GBK"/>
        </w:rPr>
        <w:t>砌块砌体外墙不属于装配式技术；</w:t>
      </w:r>
      <w:r>
        <w:rPr>
          <w:rFonts w:hint="eastAsia" w:ascii="方正黑体_GBK" w:eastAsia="方正黑体_GBK"/>
        </w:rPr>
        <w:t>二是</w:t>
      </w:r>
      <w:r>
        <w:rPr>
          <w:rFonts w:hint="eastAsia" w:eastAsia="方正仿宋_GBK"/>
        </w:rPr>
        <w:t>全现浇外墙作为非砌筑过渡性技术在本市有较好的应用基础，其综合效果较好；</w:t>
      </w:r>
      <w:r>
        <w:rPr>
          <w:rFonts w:hint="eastAsia" w:ascii="方正黑体_GBK" w:eastAsia="方正黑体_GBK"/>
        </w:rPr>
        <w:t>三是</w:t>
      </w:r>
      <w:r>
        <w:rPr>
          <w:rFonts w:hint="eastAsia" w:eastAsia="方正仿宋_GBK"/>
        </w:rPr>
        <w:t>在全现浇外墙基础之上进一步推出免拆保温模板全现浇外墙技术，可与高精度模板结合使用，可提升外墙施工效率和质量；</w:t>
      </w:r>
      <w:r>
        <w:rPr>
          <w:rFonts w:hint="eastAsia" w:ascii="方正黑体_GBK" w:eastAsia="方正黑体_GBK"/>
        </w:rPr>
        <w:t>四是</w:t>
      </w:r>
      <w:r>
        <w:rPr>
          <w:rFonts w:hint="eastAsia" w:eastAsia="方正仿宋_GBK"/>
        </w:rPr>
        <w:t>已有适宜本地的装配式围护结构产品，可促进新产业发展。</w:t>
      </w:r>
    </w:p>
    <w:p>
      <w:pPr>
        <w:adjustRightInd w:val="0"/>
        <w:snapToGrid w:val="0"/>
        <w:spacing w:line="480" w:lineRule="exact"/>
        <w:ind w:firstLine="640" w:firstLineChars="200"/>
        <w:contextualSpacing/>
        <w:rPr>
          <w:rFonts w:eastAsia="方正仿宋_GBK"/>
        </w:rPr>
      </w:pPr>
      <w:r>
        <w:rPr>
          <w:rFonts w:hint="eastAsia" w:eastAsia="方正仿宋_GBK"/>
        </w:rPr>
        <w:t>（</w:t>
      </w:r>
      <w:r>
        <w:rPr>
          <w:rFonts w:eastAsia="方正仿宋_GBK"/>
        </w:rPr>
        <w:t>2</w:t>
      </w:r>
      <w:r>
        <w:rPr>
          <w:rFonts w:hint="eastAsia" w:eastAsia="方正仿宋_GBK"/>
        </w:rPr>
        <w:t>）在居住建筑中增加</w:t>
      </w:r>
      <w:r>
        <w:rPr>
          <w:rFonts w:hint="eastAsia" w:eastAsia="方正仿宋_GBK"/>
          <w:lang w:val="en-US" w:eastAsia="zh-CN"/>
        </w:rPr>
        <w:t>标准化</w:t>
      </w:r>
      <w:r>
        <w:rPr>
          <w:rFonts w:hint="eastAsia" w:eastAsia="方正仿宋_GBK"/>
        </w:rPr>
        <w:t>门窗</w:t>
      </w:r>
      <w:r>
        <w:rPr>
          <w:rFonts w:hint="eastAsia" w:eastAsia="方正仿宋_GBK"/>
          <w:lang w:val="en-US" w:eastAsia="zh-CN"/>
        </w:rPr>
        <w:t>和工业化外装饰</w:t>
      </w:r>
      <w:r>
        <w:rPr>
          <w:rFonts w:hint="eastAsia" w:eastAsia="方正仿宋_GBK"/>
        </w:rPr>
        <w:t>系统作为预制围护墙与保温装饰一体化类型并明确了计算条件。修订原因：</w:t>
      </w:r>
      <w:r>
        <w:rPr>
          <w:rFonts w:hint="eastAsia" w:ascii="方正黑体_GBK" w:eastAsia="方正黑体_GBK"/>
        </w:rPr>
        <w:t>一是</w:t>
      </w:r>
      <w:r>
        <w:rPr>
          <w:rFonts w:hint="eastAsia" w:eastAsia="方正仿宋_GBK"/>
        </w:rPr>
        <w:t>当门窗洞口上下除结构以外无砌筑等湿作业时，</w:t>
      </w:r>
      <w:r>
        <w:rPr>
          <w:rFonts w:hint="eastAsia" w:eastAsia="方正仿宋_GBK"/>
          <w:lang w:val="en-US" w:eastAsia="zh-CN"/>
        </w:rPr>
        <w:t>标准化</w:t>
      </w:r>
      <w:r>
        <w:rPr>
          <w:rFonts w:hint="eastAsia" w:eastAsia="方正仿宋_GBK"/>
        </w:rPr>
        <w:t>门窗</w:t>
      </w:r>
      <w:r>
        <w:rPr>
          <w:rFonts w:hint="eastAsia" w:eastAsia="方正仿宋_GBK"/>
          <w:lang w:val="en-US" w:eastAsia="zh-CN"/>
        </w:rPr>
        <w:t>类似单元式</w:t>
      </w:r>
      <w:r>
        <w:rPr>
          <w:rFonts w:hint="eastAsia" w:eastAsia="方正仿宋_GBK"/>
        </w:rPr>
        <w:t>幕墙技术，是一种技术成熟、效果较好的装配式</w:t>
      </w:r>
      <w:r>
        <w:rPr>
          <w:rFonts w:hint="eastAsia" w:eastAsia="方正仿宋_GBK"/>
          <w:lang w:val="en-US" w:eastAsia="zh-CN"/>
        </w:rPr>
        <w:t>围护部品</w:t>
      </w:r>
      <w:r>
        <w:rPr>
          <w:rFonts w:hint="eastAsia" w:eastAsia="方正仿宋_GBK"/>
        </w:rPr>
        <w:t>；</w:t>
      </w:r>
      <w:r>
        <w:rPr>
          <w:rFonts w:hint="eastAsia" w:ascii="方正黑体_GBK" w:eastAsia="方正黑体_GBK"/>
        </w:rPr>
        <w:t>二是</w:t>
      </w:r>
      <w:r>
        <w:rPr>
          <w:rFonts w:hint="eastAsia" w:ascii="Times New Roman" w:eastAsia="方正仿宋_GBK"/>
          <w:lang w:val="en-US" w:eastAsia="zh-CN"/>
        </w:rPr>
        <w:t>标准化</w:t>
      </w:r>
      <w:r>
        <w:rPr>
          <w:rFonts w:hint="eastAsia" w:eastAsia="方正仿宋_GBK"/>
          <w:lang w:val="en-US" w:eastAsia="zh-CN"/>
        </w:rPr>
        <w:t>门窗与工业化外装饰</w:t>
      </w:r>
      <w:r>
        <w:rPr>
          <w:rFonts w:hint="eastAsia" w:eastAsia="方正仿宋_GBK"/>
        </w:rPr>
        <w:t>可提升</w:t>
      </w:r>
      <w:r>
        <w:rPr>
          <w:rFonts w:hint="eastAsia" w:eastAsia="方正仿宋_GBK"/>
          <w:lang w:val="en-US" w:eastAsia="zh-CN"/>
        </w:rPr>
        <w:t>围护墙性能和</w:t>
      </w:r>
      <w:r>
        <w:rPr>
          <w:rFonts w:hint="eastAsia" w:eastAsia="方正仿宋_GBK"/>
        </w:rPr>
        <w:t>建筑外观形象。</w:t>
      </w:r>
    </w:p>
    <w:p>
      <w:pPr>
        <w:adjustRightInd w:val="0"/>
        <w:snapToGrid w:val="0"/>
        <w:spacing w:line="480" w:lineRule="exact"/>
        <w:ind w:firstLine="640" w:firstLineChars="200"/>
        <w:contextualSpacing/>
      </w:pPr>
      <w:r>
        <w:rPr>
          <w:rFonts w:hint="eastAsia" w:eastAsia="方正仿宋_GBK"/>
        </w:rPr>
        <w:t>（</w:t>
      </w:r>
      <w:r>
        <w:rPr>
          <w:rFonts w:eastAsia="方正仿宋_GBK"/>
        </w:rPr>
        <w:t>3</w:t>
      </w:r>
      <w:r>
        <w:rPr>
          <w:rFonts w:hint="eastAsia" w:eastAsia="方正仿宋_GBK"/>
        </w:rPr>
        <w:t>）将在装配式围护基墙上采用龙骨干挂</w:t>
      </w:r>
      <w:r>
        <w:rPr>
          <w:rFonts w:hint="eastAsia" w:eastAsia="方正仿宋_GBK"/>
          <w:lang w:eastAsia="zh-CN"/>
        </w:rPr>
        <w:t>（</w:t>
      </w:r>
      <w:r>
        <w:rPr>
          <w:rFonts w:hint="eastAsia" w:eastAsia="方正仿宋_GBK"/>
        </w:rPr>
        <w:t>保温</w:t>
      </w:r>
      <w:r>
        <w:rPr>
          <w:rFonts w:hint="eastAsia" w:eastAsia="方正仿宋_GBK"/>
          <w:lang w:eastAsia="zh-CN"/>
        </w:rPr>
        <w:t>）</w:t>
      </w:r>
      <w:r>
        <w:rPr>
          <w:rFonts w:hint="eastAsia" w:eastAsia="方正仿宋_GBK"/>
        </w:rPr>
        <w:t>装饰一体板的技术认定为装配式围护墙与</w:t>
      </w:r>
      <w:r>
        <w:rPr>
          <w:rFonts w:hint="eastAsia" w:eastAsia="方正仿宋_GBK"/>
          <w:lang w:eastAsia="zh-CN"/>
        </w:rPr>
        <w:t>（</w:t>
      </w:r>
      <w:r>
        <w:rPr>
          <w:rFonts w:hint="eastAsia" w:eastAsia="方正仿宋_GBK"/>
        </w:rPr>
        <w:t>保温</w:t>
      </w:r>
      <w:r>
        <w:rPr>
          <w:rFonts w:hint="eastAsia" w:eastAsia="方正仿宋_GBK"/>
          <w:lang w:eastAsia="zh-CN"/>
        </w:rPr>
        <w:t>）</w:t>
      </w:r>
      <w:r>
        <w:rPr>
          <w:rFonts w:hint="eastAsia" w:eastAsia="方正仿宋_GBK"/>
        </w:rPr>
        <w:t>装饰一体化技术。修订原因：</w:t>
      </w:r>
      <w:r>
        <w:rPr>
          <w:rFonts w:hint="eastAsia" w:ascii="方正黑体_GBK" w:eastAsia="方正黑体_GBK"/>
        </w:rPr>
        <w:t>一是</w:t>
      </w:r>
      <w:r>
        <w:rPr>
          <w:rFonts w:hint="eastAsia" w:eastAsia="方正仿宋_GBK"/>
        </w:rPr>
        <w:t>采用龙骨干挂符合干法装配技术特点；</w:t>
      </w:r>
      <w:r>
        <w:rPr>
          <w:rFonts w:hint="eastAsia" w:ascii="方正黑体_GBK" w:eastAsia="方正黑体_GBK"/>
        </w:rPr>
        <w:t>二是</w:t>
      </w:r>
      <w:r>
        <w:rPr>
          <w:rFonts w:hint="eastAsia" w:eastAsia="方正仿宋_GBK"/>
        </w:rPr>
        <w:t>有利于推动非承重围护结构采用装配式技术，如轻质条板等。</w:t>
      </w:r>
    </w:p>
    <w:p>
      <w:pPr>
        <w:adjustRightInd w:val="0"/>
        <w:snapToGrid w:val="0"/>
        <w:spacing w:line="480" w:lineRule="exact"/>
        <w:ind w:firstLine="640" w:firstLineChars="200"/>
        <w:contextualSpacing/>
        <w:rPr>
          <w:rFonts w:eastAsia="方正仿宋_GBK"/>
        </w:rPr>
      </w:pPr>
      <w:r>
        <w:rPr>
          <w:rFonts w:hint="eastAsia" w:eastAsia="方正仿宋_GBK"/>
        </w:rPr>
        <w:t>（</w:t>
      </w:r>
      <w:r>
        <w:rPr>
          <w:rFonts w:eastAsia="方正仿宋_GBK"/>
        </w:rPr>
        <w:t>4</w:t>
      </w:r>
      <w:r>
        <w:rPr>
          <w:rFonts w:hint="eastAsia" w:eastAsia="方正仿宋_GBK"/>
        </w:rPr>
        <w:t>）提高了围护墙分值，鼓励围护墙采用预制保温一体化技术，提升工程质量和建造效率。修订原因：</w:t>
      </w:r>
      <w:r>
        <w:rPr>
          <w:rFonts w:hint="eastAsia" w:ascii="方正黑体_GBK" w:eastAsia="方正黑体_GBK"/>
        </w:rPr>
        <w:t>一是</w:t>
      </w:r>
      <w:r>
        <w:rPr>
          <w:rFonts w:hint="eastAsia" w:eastAsia="方正仿宋_GBK"/>
        </w:rPr>
        <w:t>装配式围护墙技术性能指标多、要求高、相应产品成本较高；</w:t>
      </w:r>
      <w:r>
        <w:rPr>
          <w:rFonts w:hint="eastAsia" w:ascii="方正黑体_GBK" w:eastAsia="方正黑体_GBK"/>
        </w:rPr>
        <w:t>二是</w:t>
      </w:r>
      <w:r>
        <w:rPr>
          <w:rFonts w:hint="eastAsia" w:eastAsia="方正仿宋_GBK"/>
        </w:rPr>
        <w:t>全部采用装配式外墙技术可实现面内作业、免外架施工、大幅提升施工效率和安全性。</w:t>
      </w:r>
    </w:p>
    <w:p>
      <w:pPr>
        <w:pStyle w:val="17"/>
        <w:spacing w:line="480" w:lineRule="exact"/>
        <w:ind w:firstLine="640" w:firstLineChars="200"/>
        <w:rPr>
          <w:rFonts w:eastAsia="方正楷体_GBK"/>
          <w:kern w:val="2"/>
        </w:rPr>
      </w:pPr>
      <w:r>
        <w:rPr>
          <w:rFonts w:eastAsia="方正楷体_GBK"/>
          <w:kern w:val="2"/>
        </w:rPr>
        <w:t>4</w:t>
      </w:r>
      <w:r>
        <w:rPr>
          <w:rFonts w:hint="eastAsia" w:eastAsia="方正楷体_GBK"/>
          <w:kern w:val="2"/>
        </w:rPr>
        <w:t>．内隔墙</w:t>
      </w:r>
    </w:p>
    <w:p>
      <w:pPr>
        <w:adjustRightInd w:val="0"/>
        <w:snapToGrid w:val="0"/>
        <w:spacing w:line="480" w:lineRule="exact"/>
        <w:ind w:firstLine="640" w:firstLineChars="200"/>
        <w:contextualSpacing/>
        <w:rPr>
          <w:rFonts w:eastAsia="方正仿宋_GBK"/>
        </w:rPr>
      </w:pPr>
      <w:r>
        <w:rPr>
          <w:rFonts w:hint="eastAsia" w:eastAsia="方正仿宋_GBK"/>
        </w:rPr>
        <w:t>将原细则内隔墙与管线和装饰一体化计算项目划入装修与设备管线系统之中更合理，管线属于机电系统，基层墙体属于填充结构。大量采用的蒸压加气混凝土等实心条板难以真正实现管线一体化，本次修订适当弱化。</w:t>
      </w:r>
    </w:p>
    <w:p>
      <w:pPr>
        <w:pStyle w:val="17"/>
        <w:spacing w:line="480" w:lineRule="exact"/>
        <w:ind w:firstLine="640" w:firstLineChars="200"/>
        <w:rPr>
          <w:rFonts w:eastAsia="方正楷体_GBK"/>
          <w:kern w:val="2"/>
        </w:rPr>
      </w:pPr>
      <w:r>
        <w:rPr>
          <w:rFonts w:eastAsia="方正楷体_GBK"/>
          <w:kern w:val="2"/>
        </w:rPr>
        <w:t>5</w:t>
      </w:r>
      <w:r>
        <w:rPr>
          <w:rFonts w:hint="eastAsia" w:eastAsia="方正楷体_GBK"/>
          <w:kern w:val="2"/>
        </w:rPr>
        <w:t>．全装修</w:t>
      </w:r>
    </w:p>
    <w:p>
      <w:pPr>
        <w:adjustRightInd w:val="0"/>
        <w:snapToGrid w:val="0"/>
        <w:spacing w:line="500" w:lineRule="exact"/>
        <w:ind w:firstLine="640" w:firstLineChars="200"/>
        <w:rPr>
          <w:rFonts w:eastAsia="方正仿宋_GBK"/>
        </w:rPr>
      </w:pPr>
      <w:r>
        <w:rPr>
          <w:rFonts w:hint="eastAsia" w:eastAsia="方正仿宋_GBK"/>
        </w:rPr>
        <w:t>增加了公区工业化装修</w:t>
      </w:r>
      <w:r>
        <w:rPr>
          <w:rFonts w:hint="eastAsia" w:eastAsia="方正仿宋_GBK"/>
          <w:lang w:val="en-US" w:eastAsia="zh-CN"/>
        </w:rPr>
        <w:t>计算项目并给予较高</w:t>
      </w:r>
      <w:r>
        <w:rPr>
          <w:rFonts w:hint="eastAsia" w:eastAsia="方正仿宋_GBK"/>
        </w:rPr>
        <w:t>分值，引导推广工业化装修，提升工业化程度。</w:t>
      </w:r>
    </w:p>
    <w:p>
      <w:pPr>
        <w:adjustRightInd w:val="0"/>
        <w:snapToGrid w:val="0"/>
        <w:spacing w:line="500" w:lineRule="exact"/>
        <w:ind w:firstLine="640" w:firstLineChars="200"/>
        <w:rPr>
          <w:rFonts w:eastAsia="方正仿宋_GBK"/>
          <w:highlight w:val="none"/>
        </w:rPr>
      </w:pPr>
      <w:r>
        <w:rPr>
          <w:rFonts w:hint="eastAsia" w:eastAsia="方正仿宋_GBK"/>
          <w:highlight w:val="none"/>
        </w:rPr>
        <w:t>具体执行全装修时，居住建筑公区工业化装修可作为全装修的一种特例，居住建筑无公区时可不作装修要求；公共建筑确定使用功能的区域应实施全装修；工业建筑确定使用功能的非生产区域宜实施全装修。</w:t>
      </w:r>
    </w:p>
    <w:p>
      <w:pPr>
        <w:pStyle w:val="17"/>
        <w:spacing w:line="480" w:lineRule="exact"/>
        <w:ind w:firstLine="640" w:firstLineChars="200"/>
        <w:rPr>
          <w:rFonts w:eastAsia="方正楷体_GBK"/>
          <w:kern w:val="2"/>
        </w:rPr>
      </w:pPr>
      <w:r>
        <w:rPr>
          <w:rFonts w:eastAsia="方正楷体_GBK"/>
          <w:kern w:val="2"/>
        </w:rPr>
        <w:t>6</w:t>
      </w:r>
      <w:r>
        <w:rPr>
          <w:rFonts w:hint="eastAsia" w:eastAsia="方正楷体_GBK"/>
          <w:kern w:val="2"/>
        </w:rPr>
        <w:t>．智能建造</w:t>
      </w:r>
    </w:p>
    <w:p>
      <w:pPr>
        <w:tabs>
          <w:tab w:val="left" w:pos="312"/>
        </w:tabs>
        <w:adjustRightInd w:val="0"/>
        <w:snapToGrid w:val="0"/>
        <w:spacing w:line="480" w:lineRule="exact"/>
        <w:ind w:firstLine="640" w:firstLineChars="200"/>
        <w:rPr>
          <w:rFonts w:eastAsia="方正仿宋_GBK"/>
        </w:rPr>
      </w:pPr>
      <w:r>
        <w:rPr>
          <w:rFonts w:hint="eastAsia" w:eastAsia="方正仿宋_GBK"/>
        </w:rPr>
        <w:t>本项是将原细则信息化内容和智能建造中与装配施工紧密相关内容整合形成的。</w:t>
      </w:r>
    </w:p>
    <w:p>
      <w:pPr>
        <w:pStyle w:val="2"/>
        <w:spacing w:after="0" w:line="480" w:lineRule="exact"/>
        <w:ind w:firstLine="640" w:firstLineChars="200"/>
        <w:rPr>
          <w:rFonts w:eastAsia="方正仿宋_GBK"/>
        </w:rPr>
      </w:pPr>
      <w:r>
        <w:rPr>
          <w:rFonts w:eastAsia="方正仿宋_GBK"/>
        </w:rPr>
        <w:t>7</w:t>
      </w:r>
      <w:r>
        <w:rPr>
          <w:rFonts w:hint="eastAsia" w:eastAsia="方正仿宋_GBK"/>
        </w:rPr>
        <w:t>．</w:t>
      </w:r>
      <w:r>
        <w:rPr>
          <w:rFonts w:hint="eastAsia" w:eastAsia="方正楷体_GBK"/>
        </w:rPr>
        <w:t>公共建筑和工业建筑</w:t>
      </w:r>
    </w:p>
    <w:p>
      <w:pPr>
        <w:tabs>
          <w:tab w:val="left" w:pos="312"/>
        </w:tabs>
        <w:adjustRightInd w:val="0"/>
        <w:snapToGrid w:val="0"/>
        <w:spacing w:line="480" w:lineRule="exact"/>
        <w:ind w:firstLine="640" w:firstLineChars="200"/>
        <w:rPr>
          <w:rFonts w:eastAsia="方正仿宋_GBK"/>
        </w:rPr>
      </w:pPr>
      <w:r>
        <w:rPr>
          <w:rFonts w:hint="eastAsia" w:eastAsia="方正仿宋_GBK"/>
        </w:rPr>
        <w:t>新增公共建筑与工业建筑计分表，主要体现公共建筑和工业建筑在主体结构和室内装修方面的显著差异。</w:t>
      </w:r>
    </w:p>
    <w:p>
      <w:pPr>
        <w:pStyle w:val="2"/>
        <w:spacing w:after="0" w:line="480" w:lineRule="exact"/>
        <w:ind w:firstLine="640" w:firstLineChars="200"/>
        <w:rPr>
          <w:rFonts w:eastAsia="方正仿宋_GBK"/>
          <w:highlight w:val="none"/>
        </w:rPr>
      </w:pPr>
      <w:r>
        <w:rPr>
          <w:rFonts w:eastAsia="方正仿宋_GBK"/>
          <w:highlight w:val="none"/>
        </w:rPr>
        <w:t>8</w:t>
      </w:r>
      <w:r>
        <w:rPr>
          <w:rFonts w:hint="eastAsia" w:eastAsia="方正仿宋_GBK"/>
          <w:highlight w:val="none"/>
        </w:rPr>
        <w:t>．明确</w:t>
      </w:r>
      <w:r>
        <w:rPr>
          <w:rFonts w:hint="eastAsia" w:eastAsia="方正楷体_GBK"/>
          <w:highlight w:val="none"/>
        </w:rPr>
        <w:t>过渡性工艺技术计算分值条件</w:t>
      </w:r>
    </w:p>
    <w:p>
      <w:pPr>
        <w:tabs>
          <w:tab w:val="left" w:pos="312"/>
        </w:tabs>
        <w:adjustRightInd w:val="0"/>
        <w:snapToGrid w:val="0"/>
        <w:spacing w:line="480" w:lineRule="exact"/>
        <w:ind w:firstLine="640" w:firstLineChars="200"/>
        <w:rPr>
          <w:rFonts w:hint="eastAsia" w:eastAsia="方正仿宋_GBK"/>
          <w:highlight w:val="none"/>
        </w:rPr>
      </w:pPr>
      <w:r>
        <w:rPr>
          <w:rFonts w:hint="eastAsia" w:eastAsia="方正仿宋_GBK"/>
          <w:highlight w:val="none"/>
        </w:rPr>
        <w:t>计算细则修订综合考虑到我市建筑产业发展情况和行业实施能力，继续保留了高精度模板、全现浇外墙和瓷砖薄贴三项过渡性工艺技术，限制高精度模板和全现浇外墙仅在居住建筑中可计算分值，限制瓷砖薄贴仅在集成厨卫的墙面和采用保温隔声模块的楼地面可计算分值。后续将根据行业发展情况实时调整相关规定，以促进产业升级和行业技术进步。</w:t>
      </w:r>
    </w:p>
    <w:p>
      <w:pPr>
        <w:adjustRightInd w:val="0"/>
        <w:snapToGrid w:val="0"/>
        <w:spacing w:line="500" w:lineRule="exact"/>
        <w:ind w:firstLine="640" w:firstLineChars="200"/>
        <w:contextualSpacing/>
        <w:rPr>
          <w:rFonts w:hint="default" w:eastAsia="方正仿宋_GBK"/>
          <w:lang w:val="en-US" w:eastAsia="zh-CN"/>
        </w:rPr>
      </w:pPr>
      <w:r>
        <w:rPr>
          <w:rFonts w:hint="eastAsia" w:eastAsia="方正楷体_GBK"/>
        </w:rPr>
        <w:t>（</w:t>
      </w:r>
      <w:r>
        <w:rPr>
          <w:rFonts w:hint="eastAsia" w:eastAsia="方正楷体_GBK"/>
          <w:lang w:val="en-US" w:eastAsia="zh-CN"/>
        </w:rPr>
        <w:t>四</w:t>
      </w:r>
      <w:r>
        <w:rPr>
          <w:rFonts w:hint="eastAsia" w:eastAsia="方正楷体_GBK"/>
        </w:rPr>
        <w:t>）</w:t>
      </w:r>
      <w:r>
        <w:rPr>
          <w:rFonts w:hint="eastAsia" w:eastAsia="方正仿宋_GBK"/>
          <w:highlight w:val="none"/>
          <w:lang w:val="en-US" w:eastAsia="zh-CN"/>
        </w:rPr>
        <w:t>对装配式建筑技术发展方向的说明</w:t>
      </w:r>
    </w:p>
    <w:p>
      <w:pPr>
        <w:tabs>
          <w:tab w:val="left" w:pos="312"/>
        </w:tabs>
        <w:adjustRightInd w:val="0"/>
        <w:snapToGrid w:val="0"/>
        <w:spacing w:line="480" w:lineRule="exact"/>
        <w:ind w:firstLine="640" w:firstLineChars="200"/>
        <w:rPr>
          <w:rFonts w:hint="default" w:eastAsia="方正仿宋_GBK"/>
          <w:highlight w:val="none"/>
          <w:lang w:val="en-US" w:eastAsia="zh-CN"/>
        </w:rPr>
      </w:pPr>
      <w:r>
        <w:rPr>
          <w:rFonts w:hint="eastAsia" w:eastAsia="方正仿宋_GBK"/>
          <w:highlight w:val="none"/>
          <w:lang w:val="en-US" w:eastAsia="zh-CN"/>
        </w:rPr>
        <w:t>装配式建筑是指其结构、外围护、设备与管线、内装四大系统主要采用预制部品部件组装而成的建筑。装配式建筑主要特征是标准化设计、工厂化生产、装配化施工、一体化装修和信息化管理，其结果能够达到“</w:t>
      </w:r>
      <w:r>
        <w:rPr>
          <w:rFonts w:hint="eastAsia" w:ascii="Times New Roman" w:hAnsi="Times New Roman" w:eastAsia="方正仿宋_GBK" w:cs="Times New Roman"/>
          <w:i w:val="0"/>
          <w:iCs w:val="0"/>
          <w:caps w:val="0"/>
          <w:spacing w:val="0"/>
          <w:sz w:val="32"/>
          <w:szCs w:val="32"/>
          <w:highlight w:val="none"/>
        </w:rPr>
        <w:t>提高质量、提高效率、减少人工、节能减排</w:t>
      </w:r>
      <w:r>
        <w:rPr>
          <w:rFonts w:hint="eastAsia" w:eastAsia="方正仿宋_GBK"/>
          <w:highlight w:val="none"/>
          <w:lang w:val="en-US" w:eastAsia="zh-CN"/>
        </w:rPr>
        <w:t>”之目的。因此相对于现浇钢筋混凝土结构、湿作业装修为主的传统建筑而言，通过标准化设计，采用工厂化生产的预制构件或部品部件，在现场快速装配或组装而成的建造方式是实现“两提两减”最好途径。但受现有产业、经济和技术限制，部分装配式技术实际仍然是现浇结构和湿法装修，尚需要不断通过技术改进和政策引导，逐步提高预制装配的工业化程度。</w:t>
      </w:r>
    </w:p>
    <w:p>
      <w:pPr>
        <w:pStyle w:val="2"/>
        <w:rPr>
          <w:rFonts w:hint="default"/>
          <w:lang w:val="en-US"/>
        </w:rPr>
      </w:pPr>
    </w:p>
    <w:p>
      <w:pPr>
        <w:pStyle w:val="2"/>
        <w:spacing w:after="0"/>
      </w:pPr>
    </w:p>
    <w:sectPr>
      <w:footerReference r:id="rId4"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SJQY">
    <w:altName w:val="宋体"/>
    <w:panose1 w:val="0201060003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sz w:val="32"/>
                              <w:szCs w:val="56"/>
                            </w:rPr>
                          </w:pPr>
                          <w:r>
                            <w:rPr>
                              <w:rFonts w:hint="eastAsia"/>
                              <w:sz w:val="32"/>
                              <w:szCs w:val="56"/>
                            </w:rPr>
                            <w:fldChar w:fldCharType="begin"/>
                          </w:r>
                          <w:r>
                            <w:rPr>
                              <w:rFonts w:hint="eastAsia"/>
                              <w:sz w:val="32"/>
                              <w:szCs w:val="56"/>
                            </w:rPr>
                            <w:instrText xml:space="preserve"> PAGE  \* MERGEFORMAT </w:instrText>
                          </w:r>
                          <w:r>
                            <w:rPr>
                              <w:rFonts w:hint="eastAsia"/>
                              <w:sz w:val="32"/>
                              <w:szCs w:val="56"/>
                            </w:rPr>
                            <w:fldChar w:fldCharType="separate"/>
                          </w:r>
                          <w:r>
                            <w:rPr>
                              <w:sz w:val="32"/>
                              <w:szCs w:val="56"/>
                            </w:rPr>
                            <w:t>1</w:t>
                          </w:r>
                          <w:r>
                            <w:rPr>
                              <w:rFonts w:hint="eastAsia"/>
                              <w:sz w:val="32"/>
                              <w:szCs w:val="56"/>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7"/>
                      <w:rPr>
                        <w:sz w:val="32"/>
                        <w:szCs w:val="56"/>
                      </w:rPr>
                    </w:pPr>
                    <w:r>
                      <w:rPr>
                        <w:rFonts w:hint="eastAsia"/>
                        <w:sz w:val="32"/>
                        <w:szCs w:val="56"/>
                      </w:rPr>
                      <w:fldChar w:fldCharType="begin"/>
                    </w:r>
                    <w:r>
                      <w:rPr>
                        <w:rFonts w:hint="eastAsia"/>
                        <w:sz w:val="32"/>
                        <w:szCs w:val="56"/>
                      </w:rPr>
                      <w:instrText xml:space="preserve"> PAGE  \* MERGEFORMAT </w:instrText>
                    </w:r>
                    <w:r>
                      <w:rPr>
                        <w:rFonts w:hint="eastAsia"/>
                        <w:sz w:val="32"/>
                        <w:szCs w:val="56"/>
                      </w:rPr>
                      <w:fldChar w:fldCharType="separate"/>
                    </w:r>
                    <w:r>
                      <w:rPr>
                        <w:sz w:val="32"/>
                        <w:szCs w:val="56"/>
                      </w:rPr>
                      <w:t>1</w:t>
                    </w:r>
                    <w:r>
                      <w:rPr>
                        <w:rFonts w:hint="eastAsia"/>
                        <w:sz w:val="32"/>
                        <w:szCs w:val="5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6</w:t>
                          </w:r>
                          <w:r>
                            <w:rPr>
                              <w:rFonts w:hint="eastAsia"/>
                              <w:sz w:val="32"/>
                              <w:szCs w:val="3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7"/>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6</w:t>
                    </w:r>
                    <w:r>
                      <w:rPr>
                        <w:rFonts w:hint="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926AE"/>
    <w:multiLevelType w:val="singleLevel"/>
    <w:tmpl w:val="5A3926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NDQxMmQ4NWU2ODNjODY4MmFlYmUzMWE4ZDFhNTYifQ=="/>
  </w:docVars>
  <w:rsids>
    <w:rsidRoot w:val="3F896BDA"/>
    <w:rsid w:val="00014A7C"/>
    <w:rsid w:val="0002429E"/>
    <w:rsid w:val="00027D99"/>
    <w:rsid w:val="000340B5"/>
    <w:rsid w:val="00041B0C"/>
    <w:rsid w:val="000A2050"/>
    <w:rsid w:val="00101716"/>
    <w:rsid w:val="00171456"/>
    <w:rsid w:val="00185477"/>
    <w:rsid w:val="001A5DF2"/>
    <w:rsid w:val="001A7E63"/>
    <w:rsid w:val="00230064"/>
    <w:rsid w:val="00232E31"/>
    <w:rsid w:val="00256CDE"/>
    <w:rsid w:val="002571C5"/>
    <w:rsid w:val="002877D8"/>
    <w:rsid w:val="00293FCD"/>
    <w:rsid w:val="002A6CD8"/>
    <w:rsid w:val="002F7A3D"/>
    <w:rsid w:val="00302F2D"/>
    <w:rsid w:val="00316EF2"/>
    <w:rsid w:val="003272EC"/>
    <w:rsid w:val="003500B5"/>
    <w:rsid w:val="00350B83"/>
    <w:rsid w:val="00360B8E"/>
    <w:rsid w:val="003A3D38"/>
    <w:rsid w:val="003C27B1"/>
    <w:rsid w:val="0040778D"/>
    <w:rsid w:val="004303D6"/>
    <w:rsid w:val="00432F19"/>
    <w:rsid w:val="00435C78"/>
    <w:rsid w:val="00451C54"/>
    <w:rsid w:val="0046276A"/>
    <w:rsid w:val="00463761"/>
    <w:rsid w:val="00475567"/>
    <w:rsid w:val="00485959"/>
    <w:rsid w:val="004B41A7"/>
    <w:rsid w:val="004B4CB8"/>
    <w:rsid w:val="0050735F"/>
    <w:rsid w:val="00512DC6"/>
    <w:rsid w:val="00515EE4"/>
    <w:rsid w:val="00517FEA"/>
    <w:rsid w:val="00542DFE"/>
    <w:rsid w:val="005B047D"/>
    <w:rsid w:val="00605CDA"/>
    <w:rsid w:val="00612A24"/>
    <w:rsid w:val="00613109"/>
    <w:rsid w:val="0065467F"/>
    <w:rsid w:val="00691A1E"/>
    <w:rsid w:val="006A5143"/>
    <w:rsid w:val="006C4DD2"/>
    <w:rsid w:val="006E42C9"/>
    <w:rsid w:val="00716E7F"/>
    <w:rsid w:val="00722D7D"/>
    <w:rsid w:val="00723DB7"/>
    <w:rsid w:val="0074095D"/>
    <w:rsid w:val="007521EC"/>
    <w:rsid w:val="00774B7D"/>
    <w:rsid w:val="0078786A"/>
    <w:rsid w:val="0081054E"/>
    <w:rsid w:val="00814006"/>
    <w:rsid w:val="008316CC"/>
    <w:rsid w:val="00832A36"/>
    <w:rsid w:val="008514F0"/>
    <w:rsid w:val="008A4EF1"/>
    <w:rsid w:val="008C2B53"/>
    <w:rsid w:val="008E05BB"/>
    <w:rsid w:val="008E6D80"/>
    <w:rsid w:val="00917EF6"/>
    <w:rsid w:val="00923742"/>
    <w:rsid w:val="009534DE"/>
    <w:rsid w:val="00955242"/>
    <w:rsid w:val="009937E5"/>
    <w:rsid w:val="009A3AE2"/>
    <w:rsid w:val="009C55A6"/>
    <w:rsid w:val="009F29DE"/>
    <w:rsid w:val="00A057BE"/>
    <w:rsid w:val="00A05F7A"/>
    <w:rsid w:val="00A061C0"/>
    <w:rsid w:val="00A214D1"/>
    <w:rsid w:val="00A90A08"/>
    <w:rsid w:val="00AA2DAA"/>
    <w:rsid w:val="00AA37C0"/>
    <w:rsid w:val="00AA6BF1"/>
    <w:rsid w:val="00AC0E17"/>
    <w:rsid w:val="00AC0FD4"/>
    <w:rsid w:val="00AD128C"/>
    <w:rsid w:val="00AD7A4F"/>
    <w:rsid w:val="00B074E3"/>
    <w:rsid w:val="00BB5452"/>
    <w:rsid w:val="00BE544A"/>
    <w:rsid w:val="00C06A97"/>
    <w:rsid w:val="00C169EF"/>
    <w:rsid w:val="00C64B5C"/>
    <w:rsid w:val="00C77130"/>
    <w:rsid w:val="00CA311F"/>
    <w:rsid w:val="00CB20C1"/>
    <w:rsid w:val="00D160BB"/>
    <w:rsid w:val="00D87615"/>
    <w:rsid w:val="00D91AF0"/>
    <w:rsid w:val="00DE3106"/>
    <w:rsid w:val="00DF3077"/>
    <w:rsid w:val="00E0721B"/>
    <w:rsid w:val="00EC52FC"/>
    <w:rsid w:val="00ED1C2E"/>
    <w:rsid w:val="00EE394B"/>
    <w:rsid w:val="00F1598A"/>
    <w:rsid w:val="00F214C9"/>
    <w:rsid w:val="00F3060C"/>
    <w:rsid w:val="00F572BA"/>
    <w:rsid w:val="00F842AD"/>
    <w:rsid w:val="00F9135D"/>
    <w:rsid w:val="00F96820"/>
    <w:rsid w:val="00FB0B48"/>
    <w:rsid w:val="013C690E"/>
    <w:rsid w:val="014516AA"/>
    <w:rsid w:val="01641498"/>
    <w:rsid w:val="0176479A"/>
    <w:rsid w:val="018F399B"/>
    <w:rsid w:val="01B34E22"/>
    <w:rsid w:val="01E66FD5"/>
    <w:rsid w:val="01FC3D47"/>
    <w:rsid w:val="022006C5"/>
    <w:rsid w:val="02370930"/>
    <w:rsid w:val="02597B69"/>
    <w:rsid w:val="026B283C"/>
    <w:rsid w:val="02730505"/>
    <w:rsid w:val="027C3466"/>
    <w:rsid w:val="02973D70"/>
    <w:rsid w:val="02B84D00"/>
    <w:rsid w:val="02E231E4"/>
    <w:rsid w:val="039D115E"/>
    <w:rsid w:val="039E227A"/>
    <w:rsid w:val="03E840FC"/>
    <w:rsid w:val="03F23E2E"/>
    <w:rsid w:val="044454C6"/>
    <w:rsid w:val="045A3333"/>
    <w:rsid w:val="04B105F2"/>
    <w:rsid w:val="04BA0275"/>
    <w:rsid w:val="04BA5A62"/>
    <w:rsid w:val="04F56819"/>
    <w:rsid w:val="052432A0"/>
    <w:rsid w:val="05525BFF"/>
    <w:rsid w:val="0556037C"/>
    <w:rsid w:val="058A7C48"/>
    <w:rsid w:val="05963A66"/>
    <w:rsid w:val="0599431E"/>
    <w:rsid w:val="05F33DA8"/>
    <w:rsid w:val="0650163D"/>
    <w:rsid w:val="067517EC"/>
    <w:rsid w:val="06D70BC7"/>
    <w:rsid w:val="0731513D"/>
    <w:rsid w:val="076B1EAA"/>
    <w:rsid w:val="078B6597"/>
    <w:rsid w:val="078D0A57"/>
    <w:rsid w:val="0790350F"/>
    <w:rsid w:val="07A816A9"/>
    <w:rsid w:val="07E1307C"/>
    <w:rsid w:val="08087CDE"/>
    <w:rsid w:val="082548AC"/>
    <w:rsid w:val="084E7CB5"/>
    <w:rsid w:val="088E5CA1"/>
    <w:rsid w:val="08A73DB6"/>
    <w:rsid w:val="08DB7D32"/>
    <w:rsid w:val="08DE171A"/>
    <w:rsid w:val="0903551D"/>
    <w:rsid w:val="09215635"/>
    <w:rsid w:val="09680B52"/>
    <w:rsid w:val="099013CB"/>
    <w:rsid w:val="099A0675"/>
    <w:rsid w:val="09B73CDD"/>
    <w:rsid w:val="09FF70BC"/>
    <w:rsid w:val="0A181D10"/>
    <w:rsid w:val="0A5B44E6"/>
    <w:rsid w:val="0A641E54"/>
    <w:rsid w:val="0AC777FE"/>
    <w:rsid w:val="0B0254BE"/>
    <w:rsid w:val="0B54253E"/>
    <w:rsid w:val="0B631BBF"/>
    <w:rsid w:val="0B7113D7"/>
    <w:rsid w:val="0B781E04"/>
    <w:rsid w:val="0BA27CA4"/>
    <w:rsid w:val="0BAE269B"/>
    <w:rsid w:val="0BD83BA9"/>
    <w:rsid w:val="0C5651C9"/>
    <w:rsid w:val="0C5A34A9"/>
    <w:rsid w:val="0C777CB0"/>
    <w:rsid w:val="0C85199F"/>
    <w:rsid w:val="0CE7715A"/>
    <w:rsid w:val="0D08149F"/>
    <w:rsid w:val="0D2528FC"/>
    <w:rsid w:val="0D574209"/>
    <w:rsid w:val="0D941AA2"/>
    <w:rsid w:val="0D9904E9"/>
    <w:rsid w:val="0DC75F4E"/>
    <w:rsid w:val="0DFA7E35"/>
    <w:rsid w:val="0E61523E"/>
    <w:rsid w:val="0E633051"/>
    <w:rsid w:val="0E7C05A0"/>
    <w:rsid w:val="0EBB5FB8"/>
    <w:rsid w:val="0F3857B6"/>
    <w:rsid w:val="0F7E54B6"/>
    <w:rsid w:val="0FC1093E"/>
    <w:rsid w:val="0FC12BEE"/>
    <w:rsid w:val="0FCE388C"/>
    <w:rsid w:val="0FDB3CE4"/>
    <w:rsid w:val="0FF92827"/>
    <w:rsid w:val="101A7299"/>
    <w:rsid w:val="10756210"/>
    <w:rsid w:val="1077526D"/>
    <w:rsid w:val="10B768D1"/>
    <w:rsid w:val="10C8055A"/>
    <w:rsid w:val="10E51BD9"/>
    <w:rsid w:val="11230F50"/>
    <w:rsid w:val="112C58C4"/>
    <w:rsid w:val="114E08DD"/>
    <w:rsid w:val="11695495"/>
    <w:rsid w:val="117F0E1D"/>
    <w:rsid w:val="1184720D"/>
    <w:rsid w:val="11862FE6"/>
    <w:rsid w:val="119D1CBC"/>
    <w:rsid w:val="11AC156D"/>
    <w:rsid w:val="11D52C3A"/>
    <w:rsid w:val="124A70DD"/>
    <w:rsid w:val="12B272F6"/>
    <w:rsid w:val="12CD62EF"/>
    <w:rsid w:val="131A4105"/>
    <w:rsid w:val="135C406C"/>
    <w:rsid w:val="136D28CE"/>
    <w:rsid w:val="138A12B6"/>
    <w:rsid w:val="13E137D1"/>
    <w:rsid w:val="13ED3687"/>
    <w:rsid w:val="141D26F9"/>
    <w:rsid w:val="14230AD7"/>
    <w:rsid w:val="14C051DB"/>
    <w:rsid w:val="14D413E1"/>
    <w:rsid w:val="150A2B53"/>
    <w:rsid w:val="15612C23"/>
    <w:rsid w:val="15740578"/>
    <w:rsid w:val="15746A07"/>
    <w:rsid w:val="1579654E"/>
    <w:rsid w:val="160703DC"/>
    <w:rsid w:val="16076EA3"/>
    <w:rsid w:val="16395759"/>
    <w:rsid w:val="16637484"/>
    <w:rsid w:val="16D66980"/>
    <w:rsid w:val="17235AB8"/>
    <w:rsid w:val="174E42DA"/>
    <w:rsid w:val="17786C5D"/>
    <w:rsid w:val="17920E18"/>
    <w:rsid w:val="17A74689"/>
    <w:rsid w:val="17E13B40"/>
    <w:rsid w:val="17E31439"/>
    <w:rsid w:val="17FE4A99"/>
    <w:rsid w:val="18294D7F"/>
    <w:rsid w:val="185E4730"/>
    <w:rsid w:val="18E00334"/>
    <w:rsid w:val="18EA752E"/>
    <w:rsid w:val="190F141A"/>
    <w:rsid w:val="194B201B"/>
    <w:rsid w:val="19571BA8"/>
    <w:rsid w:val="19757862"/>
    <w:rsid w:val="1987306B"/>
    <w:rsid w:val="19C66272"/>
    <w:rsid w:val="19C67496"/>
    <w:rsid w:val="19DD0BC5"/>
    <w:rsid w:val="19E64C38"/>
    <w:rsid w:val="1A2D337D"/>
    <w:rsid w:val="1A7F586A"/>
    <w:rsid w:val="1BCB7639"/>
    <w:rsid w:val="1BF402B0"/>
    <w:rsid w:val="1C5E5AE2"/>
    <w:rsid w:val="1C8A355D"/>
    <w:rsid w:val="1D230C56"/>
    <w:rsid w:val="1D3C4041"/>
    <w:rsid w:val="1D430D8E"/>
    <w:rsid w:val="1D78263D"/>
    <w:rsid w:val="1D895CE3"/>
    <w:rsid w:val="1D9F1CB7"/>
    <w:rsid w:val="1DB84A76"/>
    <w:rsid w:val="1DCB14CF"/>
    <w:rsid w:val="1DFF0BC0"/>
    <w:rsid w:val="1DFF3034"/>
    <w:rsid w:val="1E3B171C"/>
    <w:rsid w:val="1E8401B4"/>
    <w:rsid w:val="1F0F3E0E"/>
    <w:rsid w:val="1F777861"/>
    <w:rsid w:val="1FF348AC"/>
    <w:rsid w:val="200469C4"/>
    <w:rsid w:val="202A3912"/>
    <w:rsid w:val="207370F2"/>
    <w:rsid w:val="20AD1782"/>
    <w:rsid w:val="20B87D9E"/>
    <w:rsid w:val="214942E0"/>
    <w:rsid w:val="21691DE9"/>
    <w:rsid w:val="2186483E"/>
    <w:rsid w:val="21B74E14"/>
    <w:rsid w:val="21B8796E"/>
    <w:rsid w:val="21BB54E6"/>
    <w:rsid w:val="21D16475"/>
    <w:rsid w:val="22241693"/>
    <w:rsid w:val="223600E7"/>
    <w:rsid w:val="22B26061"/>
    <w:rsid w:val="22CE2FF3"/>
    <w:rsid w:val="22DF6258"/>
    <w:rsid w:val="23541AE0"/>
    <w:rsid w:val="238E0696"/>
    <w:rsid w:val="23CB5BA3"/>
    <w:rsid w:val="24303C58"/>
    <w:rsid w:val="24717BF4"/>
    <w:rsid w:val="247957F1"/>
    <w:rsid w:val="24842DF9"/>
    <w:rsid w:val="248B50E2"/>
    <w:rsid w:val="24AF19AB"/>
    <w:rsid w:val="24BA4074"/>
    <w:rsid w:val="24BD6CCB"/>
    <w:rsid w:val="24FC7C1E"/>
    <w:rsid w:val="25177608"/>
    <w:rsid w:val="254B53FC"/>
    <w:rsid w:val="25A8055D"/>
    <w:rsid w:val="25AF4667"/>
    <w:rsid w:val="25BC657C"/>
    <w:rsid w:val="25BD3D2F"/>
    <w:rsid w:val="260F4F92"/>
    <w:rsid w:val="261655E4"/>
    <w:rsid w:val="26233757"/>
    <w:rsid w:val="26357304"/>
    <w:rsid w:val="26420AF3"/>
    <w:rsid w:val="267E439B"/>
    <w:rsid w:val="268F439E"/>
    <w:rsid w:val="26BF1E78"/>
    <w:rsid w:val="26C26167"/>
    <w:rsid w:val="26D425C3"/>
    <w:rsid w:val="26DC72E2"/>
    <w:rsid w:val="26FC7FB9"/>
    <w:rsid w:val="27191E3B"/>
    <w:rsid w:val="271E0F90"/>
    <w:rsid w:val="2796481D"/>
    <w:rsid w:val="27BD3FB5"/>
    <w:rsid w:val="27BF77CD"/>
    <w:rsid w:val="27C43043"/>
    <w:rsid w:val="28043F81"/>
    <w:rsid w:val="291A0175"/>
    <w:rsid w:val="291C6EBC"/>
    <w:rsid w:val="29256EEE"/>
    <w:rsid w:val="2949019D"/>
    <w:rsid w:val="29B25CB5"/>
    <w:rsid w:val="29BD1E09"/>
    <w:rsid w:val="29CC793C"/>
    <w:rsid w:val="2A1262DA"/>
    <w:rsid w:val="2A265C75"/>
    <w:rsid w:val="2A7A062B"/>
    <w:rsid w:val="2A9B17F4"/>
    <w:rsid w:val="2AD26F44"/>
    <w:rsid w:val="2ADE13A5"/>
    <w:rsid w:val="2B12474F"/>
    <w:rsid w:val="2B1D537D"/>
    <w:rsid w:val="2B3E1F63"/>
    <w:rsid w:val="2B534639"/>
    <w:rsid w:val="2B6E5792"/>
    <w:rsid w:val="2BAA453E"/>
    <w:rsid w:val="2BC863CD"/>
    <w:rsid w:val="2C217DF6"/>
    <w:rsid w:val="2C407478"/>
    <w:rsid w:val="2C412EA7"/>
    <w:rsid w:val="2C740E13"/>
    <w:rsid w:val="2CB24939"/>
    <w:rsid w:val="2CB870AE"/>
    <w:rsid w:val="2CF9691A"/>
    <w:rsid w:val="2D3E57D7"/>
    <w:rsid w:val="2DA66E13"/>
    <w:rsid w:val="2DA737E9"/>
    <w:rsid w:val="2DD5558C"/>
    <w:rsid w:val="2E181E3E"/>
    <w:rsid w:val="2E1920A0"/>
    <w:rsid w:val="2E5817A2"/>
    <w:rsid w:val="2E6B4D92"/>
    <w:rsid w:val="2EA9566E"/>
    <w:rsid w:val="2EFD045B"/>
    <w:rsid w:val="2F093064"/>
    <w:rsid w:val="2F837332"/>
    <w:rsid w:val="3001276D"/>
    <w:rsid w:val="30162001"/>
    <w:rsid w:val="302623B0"/>
    <w:rsid w:val="303F603B"/>
    <w:rsid w:val="3044015D"/>
    <w:rsid w:val="30607681"/>
    <w:rsid w:val="306A6644"/>
    <w:rsid w:val="306E0C2D"/>
    <w:rsid w:val="30AA743D"/>
    <w:rsid w:val="30BA4F94"/>
    <w:rsid w:val="30C92C9A"/>
    <w:rsid w:val="30CB3D8F"/>
    <w:rsid w:val="31706688"/>
    <w:rsid w:val="31EF6675"/>
    <w:rsid w:val="32081D71"/>
    <w:rsid w:val="32275F51"/>
    <w:rsid w:val="32335D2A"/>
    <w:rsid w:val="32586ED4"/>
    <w:rsid w:val="328B437D"/>
    <w:rsid w:val="32AB1948"/>
    <w:rsid w:val="331D7B5F"/>
    <w:rsid w:val="33482697"/>
    <w:rsid w:val="335E06B7"/>
    <w:rsid w:val="338351D0"/>
    <w:rsid w:val="33914EB0"/>
    <w:rsid w:val="33A3187A"/>
    <w:rsid w:val="33B316F6"/>
    <w:rsid w:val="33E34973"/>
    <w:rsid w:val="33F547D1"/>
    <w:rsid w:val="345C3B6D"/>
    <w:rsid w:val="34836713"/>
    <w:rsid w:val="34AD7969"/>
    <w:rsid w:val="34B120FF"/>
    <w:rsid w:val="34BA1617"/>
    <w:rsid w:val="34BD286C"/>
    <w:rsid w:val="352E7EFE"/>
    <w:rsid w:val="35362C60"/>
    <w:rsid w:val="3538368E"/>
    <w:rsid w:val="3598188F"/>
    <w:rsid w:val="35A8455D"/>
    <w:rsid w:val="36046225"/>
    <w:rsid w:val="36066BE4"/>
    <w:rsid w:val="36155CA2"/>
    <w:rsid w:val="3632373B"/>
    <w:rsid w:val="366B7F31"/>
    <w:rsid w:val="370D1BF4"/>
    <w:rsid w:val="37535F1D"/>
    <w:rsid w:val="37A41080"/>
    <w:rsid w:val="383E1542"/>
    <w:rsid w:val="38623E73"/>
    <w:rsid w:val="38683569"/>
    <w:rsid w:val="387D118F"/>
    <w:rsid w:val="38883094"/>
    <w:rsid w:val="38D80215"/>
    <w:rsid w:val="38EE1FA9"/>
    <w:rsid w:val="3918798A"/>
    <w:rsid w:val="39445782"/>
    <w:rsid w:val="396C0D4F"/>
    <w:rsid w:val="39AC00B3"/>
    <w:rsid w:val="39B55187"/>
    <w:rsid w:val="39E16BF6"/>
    <w:rsid w:val="3A2E502F"/>
    <w:rsid w:val="3A3304A6"/>
    <w:rsid w:val="3A873F09"/>
    <w:rsid w:val="3A954AAB"/>
    <w:rsid w:val="3A9B2F0A"/>
    <w:rsid w:val="3ADE3FB6"/>
    <w:rsid w:val="3B123046"/>
    <w:rsid w:val="3B42179C"/>
    <w:rsid w:val="3B55065E"/>
    <w:rsid w:val="3BC11368"/>
    <w:rsid w:val="3BF375EE"/>
    <w:rsid w:val="3BF75C29"/>
    <w:rsid w:val="3C1C3E1B"/>
    <w:rsid w:val="3C891B9E"/>
    <w:rsid w:val="3CAE22D5"/>
    <w:rsid w:val="3CB15BDA"/>
    <w:rsid w:val="3CD31784"/>
    <w:rsid w:val="3CF11773"/>
    <w:rsid w:val="3D032D57"/>
    <w:rsid w:val="3D2959BD"/>
    <w:rsid w:val="3D345516"/>
    <w:rsid w:val="3D754A4E"/>
    <w:rsid w:val="3D787175"/>
    <w:rsid w:val="3DAC5CA6"/>
    <w:rsid w:val="3DDC3411"/>
    <w:rsid w:val="3E1469EF"/>
    <w:rsid w:val="3E473C22"/>
    <w:rsid w:val="3E4772D6"/>
    <w:rsid w:val="3E4F509B"/>
    <w:rsid w:val="3E591956"/>
    <w:rsid w:val="3E5A7E55"/>
    <w:rsid w:val="3E6D4324"/>
    <w:rsid w:val="3E75078E"/>
    <w:rsid w:val="3E7634FC"/>
    <w:rsid w:val="3E9C4FDE"/>
    <w:rsid w:val="3EB43064"/>
    <w:rsid w:val="3ED25BE0"/>
    <w:rsid w:val="3EEA58D8"/>
    <w:rsid w:val="3F040B1D"/>
    <w:rsid w:val="3F0E5C3A"/>
    <w:rsid w:val="3F282593"/>
    <w:rsid w:val="3F60445A"/>
    <w:rsid w:val="3F896BDA"/>
    <w:rsid w:val="3F9E4888"/>
    <w:rsid w:val="3FAD7362"/>
    <w:rsid w:val="3FCF5C3C"/>
    <w:rsid w:val="3FE756BB"/>
    <w:rsid w:val="3FF8688F"/>
    <w:rsid w:val="403F0E43"/>
    <w:rsid w:val="405B335D"/>
    <w:rsid w:val="408B1188"/>
    <w:rsid w:val="41031311"/>
    <w:rsid w:val="412A1C71"/>
    <w:rsid w:val="413D1B1F"/>
    <w:rsid w:val="416D7AA8"/>
    <w:rsid w:val="41B61120"/>
    <w:rsid w:val="422A3E25"/>
    <w:rsid w:val="4246094D"/>
    <w:rsid w:val="42821BC1"/>
    <w:rsid w:val="42822CEB"/>
    <w:rsid w:val="42906003"/>
    <w:rsid w:val="42B041C7"/>
    <w:rsid w:val="430C3483"/>
    <w:rsid w:val="434F72BF"/>
    <w:rsid w:val="43833C68"/>
    <w:rsid w:val="43901EE9"/>
    <w:rsid w:val="43C334E0"/>
    <w:rsid w:val="43C42D79"/>
    <w:rsid w:val="43E9215D"/>
    <w:rsid w:val="445D32F4"/>
    <w:rsid w:val="447B79A8"/>
    <w:rsid w:val="44B33DBE"/>
    <w:rsid w:val="44E553F8"/>
    <w:rsid w:val="44F87A23"/>
    <w:rsid w:val="453D4A20"/>
    <w:rsid w:val="4586248A"/>
    <w:rsid w:val="45CA47F4"/>
    <w:rsid w:val="45E80D63"/>
    <w:rsid w:val="45EE77A4"/>
    <w:rsid w:val="46492C2C"/>
    <w:rsid w:val="46A14816"/>
    <w:rsid w:val="46C329DE"/>
    <w:rsid w:val="46E429D2"/>
    <w:rsid w:val="47377A13"/>
    <w:rsid w:val="47467359"/>
    <w:rsid w:val="4776383E"/>
    <w:rsid w:val="479C439C"/>
    <w:rsid w:val="479E0D55"/>
    <w:rsid w:val="47D175FA"/>
    <w:rsid w:val="47FD097B"/>
    <w:rsid w:val="48146C14"/>
    <w:rsid w:val="4817006E"/>
    <w:rsid w:val="48735D3E"/>
    <w:rsid w:val="489069EB"/>
    <w:rsid w:val="48BC3F7D"/>
    <w:rsid w:val="490F2AE7"/>
    <w:rsid w:val="49114804"/>
    <w:rsid w:val="493614FC"/>
    <w:rsid w:val="497438A8"/>
    <w:rsid w:val="497649B9"/>
    <w:rsid w:val="49864748"/>
    <w:rsid w:val="498A4075"/>
    <w:rsid w:val="499C3C73"/>
    <w:rsid w:val="49BD67AF"/>
    <w:rsid w:val="49C2499A"/>
    <w:rsid w:val="49DD5255"/>
    <w:rsid w:val="49E465B3"/>
    <w:rsid w:val="49E616FE"/>
    <w:rsid w:val="4A0B49CE"/>
    <w:rsid w:val="4A325115"/>
    <w:rsid w:val="4A756BA7"/>
    <w:rsid w:val="4A9F1DA0"/>
    <w:rsid w:val="4ACF6FC9"/>
    <w:rsid w:val="4ADD0FBB"/>
    <w:rsid w:val="4AE055A2"/>
    <w:rsid w:val="4B3F49D9"/>
    <w:rsid w:val="4B4176A1"/>
    <w:rsid w:val="4B5205E8"/>
    <w:rsid w:val="4B610695"/>
    <w:rsid w:val="4B62209A"/>
    <w:rsid w:val="4BBF22FA"/>
    <w:rsid w:val="4BDF63EC"/>
    <w:rsid w:val="4C115EEC"/>
    <w:rsid w:val="4C544CD5"/>
    <w:rsid w:val="4C61323B"/>
    <w:rsid w:val="4C6F0F12"/>
    <w:rsid w:val="4C7D362F"/>
    <w:rsid w:val="4DA41F65"/>
    <w:rsid w:val="4E100746"/>
    <w:rsid w:val="4E434405"/>
    <w:rsid w:val="4E546864"/>
    <w:rsid w:val="4EEC4EEF"/>
    <w:rsid w:val="4F505077"/>
    <w:rsid w:val="4F615EB4"/>
    <w:rsid w:val="4FE14B0D"/>
    <w:rsid w:val="4FEF0D63"/>
    <w:rsid w:val="4FFD684D"/>
    <w:rsid w:val="501F0E46"/>
    <w:rsid w:val="504876FA"/>
    <w:rsid w:val="506B19F1"/>
    <w:rsid w:val="50753B68"/>
    <w:rsid w:val="50B574F2"/>
    <w:rsid w:val="50BA26C1"/>
    <w:rsid w:val="5151242D"/>
    <w:rsid w:val="515425F1"/>
    <w:rsid w:val="517F6BF3"/>
    <w:rsid w:val="51A771F9"/>
    <w:rsid w:val="522530F9"/>
    <w:rsid w:val="526465A4"/>
    <w:rsid w:val="527369AC"/>
    <w:rsid w:val="52835DCE"/>
    <w:rsid w:val="52BC67CA"/>
    <w:rsid w:val="5323224D"/>
    <w:rsid w:val="53251183"/>
    <w:rsid w:val="53534D62"/>
    <w:rsid w:val="53586230"/>
    <w:rsid w:val="5385239D"/>
    <w:rsid w:val="53CB73B2"/>
    <w:rsid w:val="542C6C11"/>
    <w:rsid w:val="54562DF6"/>
    <w:rsid w:val="5482109A"/>
    <w:rsid w:val="549C0707"/>
    <w:rsid w:val="55113A24"/>
    <w:rsid w:val="55214EE8"/>
    <w:rsid w:val="554C1343"/>
    <w:rsid w:val="56471D5B"/>
    <w:rsid w:val="565A7644"/>
    <w:rsid w:val="56835D5D"/>
    <w:rsid w:val="568C659A"/>
    <w:rsid w:val="56B5221A"/>
    <w:rsid w:val="56C63E25"/>
    <w:rsid w:val="573345D2"/>
    <w:rsid w:val="57420266"/>
    <w:rsid w:val="575449CA"/>
    <w:rsid w:val="575C0258"/>
    <w:rsid w:val="5787558B"/>
    <w:rsid w:val="579E08FE"/>
    <w:rsid w:val="57AF2B0B"/>
    <w:rsid w:val="57D36E66"/>
    <w:rsid w:val="580C301F"/>
    <w:rsid w:val="58490659"/>
    <w:rsid w:val="589F1B67"/>
    <w:rsid w:val="58A52468"/>
    <w:rsid w:val="58B303D9"/>
    <w:rsid w:val="58CE2AC0"/>
    <w:rsid w:val="58E11BF9"/>
    <w:rsid w:val="590935EC"/>
    <w:rsid w:val="59312DF9"/>
    <w:rsid w:val="599E048D"/>
    <w:rsid w:val="59D85843"/>
    <w:rsid w:val="59FD433C"/>
    <w:rsid w:val="5A204D30"/>
    <w:rsid w:val="5A737E20"/>
    <w:rsid w:val="5A8F4EB2"/>
    <w:rsid w:val="5AC32B55"/>
    <w:rsid w:val="5ADC1E12"/>
    <w:rsid w:val="5AFB38C7"/>
    <w:rsid w:val="5B0547A1"/>
    <w:rsid w:val="5B2630E4"/>
    <w:rsid w:val="5B6A1223"/>
    <w:rsid w:val="5B7405FE"/>
    <w:rsid w:val="5B894B78"/>
    <w:rsid w:val="5BB34395"/>
    <w:rsid w:val="5BCE1284"/>
    <w:rsid w:val="5BF80A6B"/>
    <w:rsid w:val="5C166035"/>
    <w:rsid w:val="5C4B6366"/>
    <w:rsid w:val="5C7329A2"/>
    <w:rsid w:val="5C9F176C"/>
    <w:rsid w:val="5CF82915"/>
    <w:rsid w:val="5CFD1CAB"/>
    <w:rsid w:val="5D066D29"/>
    <w:rsid w:val="5D7B778C"/>
    <w:rsid w:val="5D8B0586"/>
    <w:rsid w:val="5D8B5480"/>
    <w:rsid w:val="5DA6344B"/>
    <w:rsid w:val="5DAA0089"/>
    <w:rsid w:val="5DD01C33"/>
    <w:rsid w:val="5DFE170D"/>
    <w:rsid w:val="5E5340E6"/>
    <w:rsid w:val="5E9A5A23"/>
    <w:rsid w:val="5F24729F"/>
    <w:rsid w:val="5F441D8B"/>
    <w:rsid w:val="5F9834AA"/>
    <w:rsid w:val="5F994E5A"/>
    <w:rsid w:val="5F9F21E8"/>
    <w:rsid w:val="600B7C96"/>
    <w:rsid w:val="60182683"/>
    <w:rsid w:val="601E454A"/>
    <w:rsid w:val="602D281F"/>
    <w:rsid w:val="60607DAB"/>
    <w:rsid w:val="607C4696"/>
    <w:rsid w:val="60A306A0"/>
    <w:rsid w:val="60C65286"/>
    <w:rsid w:val="60C76245"/>
    <w:rsid w:val="60E70C20"/>
    <w:rsid w:val="61017280"/>
    <w:rsid w:val="61122831"/>
    <w:rsid w:val="614222FA"/>
    <w:rsid w:val="61636758"/>
    <w:rsid w:val="61777780"/>
    <w:rsid w:val="61831277"/>
    <w:rsid w:val="619C2C66"/>
    <w:rsid w:val="61DB5697"/>
    <w:rsid w:val="62713933"/>
    <w:rsid w:val="62C36E98"/>
    <w:rsid w:val="62FD1C09"/>
    <w:rsid w:val="633F18F8"/>
    <w:rsid w:val="637E1B09"/>
    <w:rsid w:val="63874C93"/>
    <w:rsid w:val="639F2271"/>
    <w:rsid w:val="63E77C7B"/>
    <w:rsid w:val="63EA1623"/>
    <w:rsid w:val="648F0AB3"/>
    <w:rsid w:val="64A13B2C"/>
    <w:rsid w:val="64B8013E"/>
    <w:rsid w:val="64BC16FD"/>
    <w:rsid w:val="64D96ADC"/>
    <w:rsid w:val="652D299D"/>
    <w:rsid w:val="653D4604"/>
    <w:rsid w:val="654D507C"/>
    <w:rsid w:val="659E7E59"/>
    <w:rsid w:val="65C43608"/>
    <w:rsid w:val="66144CA6"/>
    <w:rsid w:val="664E2B12"/>
    <w:rsid w:val="66742F55"/>
    <w:rsid w:val="66AF71B2"/>
    <w:rsid w:val="66C67466"/>
    <w:rsid w:val="671B5F04"/>
    <w:rsid w:val="67217EA1"/>
    <w:rsid w:val="67492634"/>
    <w:rsid w:val="67A61992"/>
    <w:rsid w:val="67BF3933"/>
    <w:rsid w:val="67D62C16"/>
    <w:rsid w:val="683709F7"/>
    <w:rsid w:val="68682908"/>
    <w:rsid w:val="687D1F9A"/>
    <w:rsid w:val="688E404C"/>
    <w:rsid w:val="689942B9"/>
    <w:rsid w:val="68BF2482"/>
    <w:rsid w:val="68CC20A8"/>
    <w:rsid w:val="68D45825"/>
    <w:rsid w:val="69313847"/>
    <w:rsid w:val="69C14F3F"/>
    <w:rsid w:val="69C73CE4"/>
    <w:rsid w:val="6A925699"/>
    <w:rsid w:val="6AC43D64"/>
    <w:rsid w:val="6ACA583A"/>
    <w:rsid w:val="6ACF5CD6"/>
    <w:rsid w:val="6AEE06D7"/>
    <w:rsid w:val="6B68274E"/>
    <w:rsid w:val="6B6974F1"/>
    <w:rsid w:val="6B9522CC"/>
    <w:rsid w:val="6BDD7842"/>
    <w:rsid w:val="6BEC3528"/>
    <w:rsid w:val="6C3A43EC"/>
    <w:rsid w:val="6C8C7A1E"/>
    <w:rsid w:val="6C9151F8"/>
    <w:rsid w:val="6CB0524B"/>
    <w:rsid w:val="6CB974F4"/>
    <w:rsid w:val="6CC36776"/>
    <w:rsid w:val="6CDB3C37"/>
    <w:rsid w:val="6D057FFB"/>
    <w:rsid w:val="6D575524"/>
    <w:rsid w:val="6D8B2901"/>
    <w:rsid w:val="6D8F79C4"/>
    <w:rsid w:val="6DC106CD"/>
    <w:rsid w:val="6DCD2CD1"/>
    <w:rsid w:val="6DE73E90"/>
    <w:rsid w:val="6E0A02CF"/>
    <w:rsid w:val="6E970129"/>
    <w:rsid w:val="6EA34E7D"/>
    <w:rsid w:val="6EB32D05"/>
    <w:rsid w:val="6F5B7433"/>
    <w:rsid w:val="6F9033BD"/>
    <w:rsid w:val="6FA34FBE"/>
    <w:rsid w:val="6FD52EBC"/>
    <w:rsid w:val="6FDD5A78"/>
    <w:rsid w:val="6FF32B61"/>
    <w:rsid w:val="6FF43C86"/>
    <w:rsid w:val="6FFA20E9"/>
    <w:rsid w:val="70123C94"/>
    <w:rsid w:val="70165BC9"/>
    <w:rsid w:val="7025739C"/>
    <w:rsid w:val="703403AF"/>
    <w:rsid w:val="703466DE"/>
    <w:rsid w:val="706978A3"/>
    <w:rsid w:val="70831BD4"/>
    <w:rsid w:val="708F6B78"/>
    <w:rsid w:val="70926DFA"/>
    <w:rsid w:val="70FD6A1B"/>
    <w:rsid w:val="710863A2"/>
    <w:rsid w:val="712006CD"/>
    <w:rsid w:val="712C46B1"/>
    <w:rsid w:val="71441968"/>
    <w:rsid w:val="71925049"/>
    <w:rsid w:val="71B13900"/>
    <w:rsid w:val="71C76122"/>
    <w:rsid w:val="71CA25C3"/>
    <w:rsid w:val="71CA5714"/>
    <w:rsid w:val="71DB657E"/>
    <w:rsid w:val="71E33685"/>
    <w:rsid w:val="71F012D5"/>
    <w:rsid w:val="720243F2"/>
    <w:rsid w:val="7216135A"/>
    <w:rsid w:val="7259497C"/>
    <w:rsid w:val="729D484D"/>
    <w:rsid w:val="72D611C9"/>
    <w:rsid w:val="733419D7"/>
    <w:rsid w:val="734472D1"/>
    <w:rsid w:val="73711C49"/>
    <w:rsid w:val="737B37D1"/>
    <w:rsid w:val="73AB56C2"/>
    <w:rsid w:val="73C66DBA"/>
    <w:rsid w:val="73E7733E"/>
    <w:rsid w:val="74262EFC"/>
    <w:rsid w:val="742D07FB"/>
    <w:rsid w:val="7434787B"/>
    <w:rsid w:val="743D3864"/>
    <w:rsid w:val="74591CCF"/>
    <w:rsid w:val="745C5FBB"/>
    <w:rsid w:val="7465526C"/>
    <w:rsid w:val="74717781"/>
    <w:rsid w:val="748670C6"/>
    <w:rsid w:val="74A426E3"/>
    <w:rsid w:val="74BE37D1"/>
    <w:rsid w:val="74DB7F9F"/>
    <w:rsid w:val="74F07C71"/>
    <w:rsid w:val="74F779C2"/>
    <w:rsid w:val="752F2567"/>
    <w:rsid w:val="7543589E"/>
    <w:rsid w:val="755A491A"/>
    <w:rsid w:val="75750A98"/>
    <w:rsid w:val="757E171D"/>
    <w:rsid w:val="75BC0016"/>
    <w:rsid w:val="75CC5E6B"/>
    <w:rsid w:val="764C0986"/>
    <w:rsid w:val="76B76DE9"/>
    <w:rsid w:val="76CC5DEB"/>
    <w:rsid w:val="76E00193"/>
    <w:rsid w:val="771A18F7"/>
    <w:rsid w:val="772D2BFF"/>
    <w:rsid w:val="77674B62"/>
    <w:rsid w:val="776A6901"/>
    <w:rsid w:val="779B427E"/>
    <w:rsid w:val="77A30D09"/>
    <w:rsid w:val="77C24535"/>
    <w:rsid w:val="782F6C96"/>
    <w:rsid w:val="795A7400"/>
    <w:rsid w:val="79AD6A52"/>
    <w:rsid w:val="79D02B4F"/>
    <w:rsid w:val="79E719BD"/>
    <w:rsid w:val="7A232F4E"/>
    <w:rsid w:val="7A8F7CA1"/>
    <w:rsid w:val="7AAC0AB8"/>
    <w:rsid w:val="7ADB639D"/>
    <w:rsid w:val="7B160796"/>
    <w:rsid w:val="7B3032DA"/>
    <w:rsid w:val="7B447147"/>
    <w:rsid w:val="7B9335AE"/>
    <w:rsid w:val="7BB3231A"/>
    <w:rsid w:val="7BEE3B3B"/>
    <w:rsid w:val="7C4C013A"/>
    <w:rsid w:val="7C556408"/>
    <w:rsid w:val="7C6678A7"/>
    <w:rsid w:val="7C740190"/>
    <w:rsid w:val="7CBB76D8"/>
    <w:rsid w:val="7CD465C3"/>
    <w:rsid w:val="7CE60EAE"/>
    <w:rsid w:val="7D074598"/>
    <w:rsid w:val="7D417631"/>
    <w:rsid w:val="7D6F5107"/>
    <w:rsid w:val="7D791170"/>
    <w:rsid w:val="7D9F60AC"/>
    <w:rsid w:val="7DA63EE4"/>
    <w:rsid w:val="7DA77C5D"/>
    <w:rsid w:val="7DC14660"/>
    <w:rsid w:val="7DD035C0"/>
    <w:rsid w:val="7DFF022F"/>
    <w:rsid w:val="7E475C64"/>
    <w:rsid w:val="7EAD4122"/>
    <w:rsid w:val="7EDD3DDE"/>
    <w:rsid w:val="7EE66A7B"/>
    <w:rsid w:val="7F081E94"/>
    <w:rsid w:val="7F3F04C2"/>
    <w:rsid w:val="7FE22047"/>
    <w:rsid w:val="7FF845C8"/>
    <w:rsid w:val="7FFD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3"/>
    <w:qFormat/>
    <w:uiPriority w:val="9"/>
    <w:pPr>
      <w:widowControl/>
      <w:spacing w:line="500" w:lineRule="exact"/>
      <w:jc w:val="center"/>
      <w:outlineLvl w:val="0"/>
    </w:pPr>
    <w:rPr>
      <w:rFonts w:ascii="宋体" w:hAnsi="宋体" w:eastAsia="方正黑体_GBK"/>
      <w:bCs/>
      <w:kern w:val="36"/>
      <w:szCs w:val="48"/>
    </w:rPr>
  </w:style>
  <w:style w:type="paragraph" w:styleId="4">
    <w:name w:val="heading 2"/>
    <w:basedOn w:val="1"/>
    <w:next w:val="1"/>
    <w:link w:val="14"/>
    <w:unhideWhenUsed/>
    <w:qFormat/>
    <w:uiPriority w:val="0"/>
    <w:pPr>
      <w:keepNext/>
      <w:keepLines/>
      <w:outlineLvl w:val="1"/>
    </w:pPr>
    <w:rPr>
      <w:rFonts w:eastAsia="方正楷体_GBK"/>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link w:val="3"/>
    <w:qFormat/>
    <w:uiPriority w:val="9"/>
    <w:rPr>
      <w:rFonts w:ascii="宋体" w:hAnsi="宋体" w:eastAsia="方正黑体_GBK" w:cs="宋体"/>
      <w:bCs/>
      <w:kern w:val="36"/>
      <w:sz w:val="32"/>
      <w:szCs w:val="48"/>
    </w:rPr>
  </w:style>
  <w:style w:type="character" w:customStyle="1" w:styleId="14">
    <w:name w:val="标题 2 Char"/>
    <w:basedOn w:val="12"/>
    <w:link w:val="4"/>
    <w:qFormat/>
    <w:uiPriority w:val="9"/>
    <w:rPr>
      <w:rFonts w:ascii="Times New Roman" w:hAnsi="Times New Roman" w:eastAsia="方正楷体_GBK" w:cs="Times New Roman"/>
      <w:bCs/>
      <w:sz w:val="32"/>
      <w:szCs w:val="32"/>
    </w:rPr>
  </w:style>
  <w:style w:type="character" w:customStyle="1" w:styleId="15">
    <w:name w:val="批注框文本 Char"/>
    <w:basedOn w:val="12"/>
    <w:link w:val="6"/>
    <w:qFormat/>
    <w:uiPriority w:val="0"/>
    <w:rPr>
      <w:rFonts w:eastAsia="仿宋_GB2312"/>
      <w:kern w:val="2"/>
      <w:sz w:val="18"/>
      <w:szCs w:val="18"/>
    </w:rPr>
  </w:style>
  <w:style w:type="character" w:customStyle="1" w:styleId="16">
    <w:name w:val="页眉 Char"/>
    <w:basedOn w:val="12"/>
    <w:link w:val="8"/>
    <w:qFormat/>
    <w:uiPriority w:val="0"/>
    <w:rPr>
      <w:rFonts w:eastAsia="仿宋_GB2312"/>
      <w:kern w:val="2"/>
      <w:sz w:val="18"/>
      <w:szCs w:val="18"/>
    </w:rPr>
  </w:style>
  <w:style w:type="paragraph" w:customStyle="1" w:styleId="17">
    <w:name w:val="正文1"/>
    <w:basedOn w:val="1"/>
    <w:qFormat/>
    <w:uiPriority w:val="0"/>
    <w:pPr>
      <w:spacing w:line="500" w:lineRule="exact"/>
    </w:pPr>
    <w:rPr>
      <w:kern w:val="0"/>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11852</Words>
  <Characters>12692</Characters>
  <Lines>93</Lines>
  <Paragraphs>26</Paragraphs>
  <TotalTime>51</TotalTime>
  <ScaleCrop>false</ScaleCrop>
  <LinksUpToDate>false</LinksUpToDate>
  <CharactersWithSpaces>12727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2023-09-20T03:44:00Z</dcterms:created>
  <dc:creator>lenovo</dc:creator>
  <cp:lastModifiedBy>MO3</cp:lastModifiedBy>
  <cp:lastPrinted>2023-09-20T02:47:00Z</cp:lastPrinted>
  <dcterms:modified xsi:type="dcterms:W3CDTF">2023-11-16T07:52:45Z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A4562F337B3F4CF4AE45862BD915FAAC_13</vt:lpwstr>
  </property>
</Properties>
</file>