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</w:rPr>
        <w:t>公共建筑节能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eastAsia="zh-CN"/>
        </w:rPr>
        <w:t>绿色化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</w:rPr>
        <w:t>改造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</w:rPr>
        <w:t>节能量（率）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</w:rPr>
        <w:t>核定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eastAsia="zh-CN"/>
        </w:rPr>
        <w:t>要求</w:t>
      </w:r>
    </w:p>
    <w:p>
      <w:pPr>
        <w:pStyle w:val="34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left"/>
        <w:textAlignment w:val="auto"/>
        <w:rPr>
          <w:rFonts w:hint="eastAsia" w:ascii="仿宋_GB2312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pStyle w:val="34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1.公共建筑节能绿色化改造项目节能量（率）核定应在节能绿色化改造竣工验收完成，并运行12个月后进行。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2.“十四五”时期实施节能绿色化改造项目基期建筑能耗应为2019年度或距离</w:t>
      </w:r>
      <w:r>
        <w:rPr>
          <w:rFonts w:hint="eastAsia" w:ascii="仿宋_GB2312" w:eastAsia="仿宋_GB2312"/>
          <w:sz w:val="32"/>
          <w:szCs w:val="32"/>
        </w:rPr>
        <w:t>改造时间最近且连续稳定运行12个月的建筑综合能耗。</w:t>
      </w:r>
      <w:r>
        <w:rPr>
          <w:rFonts w:hint="eastAsia" w:ascii="仿宋_GB2312" w:eastAsia="仿宋_GB2312"/>
          <w:sz w:val="32"/>
          <w:szCs w:val="32"/>
          <w:lang w:eastAsia="zh-CN"/>
        </w:rPr>
        <w:t>报告期建筑能耗应为改造竣工验收（合格）后连续稳定运行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12个月的建筑综合能耗。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/>
        <w:jc w:val="lef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3.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建筑能耗是指建筑使用过程中由外部输入的能源之和，包括维持建筑环境的用能（如供暖、制冷、通风、空调和照明）和各类建筑内活动（如办公、电梯、生活热水等）的用能。不包括特种功能用能系统的能耗（如医疗卫生建筑的大型医疗设备与系统，科研教育的大型实验仪器与系统、信息数据中心的大型机房设备等），运输车辆油耗和电耗以及超过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500平方米的无舒适度要求的停车场、仓库的能耗。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4.能源消耗种类包括电力、燃气、燃油、市政热源（或者冷源）等，</w:t>
      </w:r>
      <w:r>
        <w:rPr>
          <w:rFonts w:hint="eastAsia" w:ascii="仿宋_GB2312" w:eastAsia="仿宋_GB2312"/>
          <w:sz w:val="32"/>
          <w:szCs w:val="32"/>
        </w:rPr>
        <w:t>核定公共建筑</w:t>
      </w:r>
      <w:r>
        <w:rPr>
          <w:rFonts w:hint="eastAsia" w:ascii="仿宋_GB2312" w:eastAsia="仿宋_GB2312"/>
          <w:sz w:val="32"/>
          <w:szCs w:val="32"/>
          <w:lang w:eastAsia="zh-CN"/>
        </w:rPr>
        <w:t>节能绿色化改造项目</w:t>
      </w:r>
      <w:r>
        <w:rPr>
          <w:rFonts w:hint="eastAsia" w:ascii="仿宋_GB2312" w:eastAsia="仿宋_GB2312"/>
          <w:sz w:val="32"/>
          <w:szCs w:val="32"/>
        </w:rPr>
        <w:t>节能量（率）时，应将所有种类的能源消耗统一换算为标准煤，各种能源折算系数应按</w:t>
      </w:r>
      <w:r>
        <w:rPr>
          <w:rFonts w:hint="eastAsia" w:ascii="仿宋_GB2312" w:eastAsia="仿宋_GB2312"/>
          <w:sz w:val="32"/>
          <w:szCs w:val="32"/>
          <w:lang w:eastAsia="zh-CN"/>
        </w:rPr>
        <w:t>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取值。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表1 常用能源折算系数</w:t>
      </w:r>
    </w:p>
    <w:tbl>
      <w:tblPr>
        <w:tblStyle w:val="15"/>
        <w:tblW w:w="866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339"/>
        <w:gridCol w:w="53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339" w:type="dxa"/>
            <w:noWrap w:val="0"/>
            <w:vAlign w:val="center"/>
          </w:tcPr>
          <w:p>
            <w:pPr>
              <w:adjustRightInd w:val="0"/>
              <w:snapToGrid w:val="0"/>
              <w:ind w:firstLine="360"/>
              <w:jc w:val="center"/>
              <w:rPr>
                <w:rFonts w:ascii="仿宋_GB2312" w:hAnsi="Arial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color w:val="000000"/>
                <w:sz w:val="28"/>
                <w:szCs w:val="28"/>
              </w:rPr>
              <w:t>能源名称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adjustRightInd w:val="0"/>
              <w:snapToGrid w:val="0"/>
              <w:ind w:firstLine="360"/>
              <w:jc w:val="center"/>
              <w:rPr>
                <w:rFonts w:ascii="仿宋_GB2312" w:hAnsi="Arial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color w:val="000000"/>
                <w:sz w:val="28"/>
                <w:szCs w:val="28"/>
              </w:rPr>
              <w:t>参考折标</w:t>
            </w:r>
            <w:r>
              <w:rPr>
                <w:rFonts w:hint="eastAsia" w:ascii="仿宋_GB2312" w:hAnsi="Arial" w:eastAsia="仿宋_GB2312"/>
                <w:color w:val="000000"/>
                <w:sz w:val="28"/>
                <w:szCs w:val="28"/>
                <w:lang w:eastAsia="zh-CN"/>
              </w:rPr>
              <w:t>准煤</w:t>
            </w:r>
            <w:r>
              <w:rPr>
                <w:rFonts w:hint="eastAsia" w:ascii="仿宋_GB2312" w:hAnsi="Arial" w:eastAsia="仿宋_GB2312"/>
                <w:color w:val="000000"/>
                <w:sz w:val="28"/>
                <w:szCs w:val="28"/>
              </w:rPr>
              <w:t>系数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33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hAnsi="Arial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color w:val="000000"/>
                <w:sz w:val="28"/>
                <w:szCs w:val="28"/>
              </w:rPr>
              <w:t>电力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360"/>
              <w:jc w:val="center"/>
              <w:rPr>
                <w:rFonts w:hint="eastAsia" w:eastAsia="仿宋_GB2312"/>
                <w:b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Times New Roman"/>
                <w:color w:val="000000"/>
                <w:sz w:val="28"/>
                <w:szCs w:val="28"/>
                <w:lang w:val="en-US" w:eastAsia="zh-CN"/>
              </w:rPr>
              <w:t>0.269</w:t>
            </w:r>
            <w:r>
              <w:rPr>
                <w:rFonts w:hint="eastAsia" w:ascii="仿宋_GB2312" w:hAnsi="Arial" w:eastAsia="仿宋_GB2312"/>
                <w:color w:val="000000"/>
                <w:sz w:val="28"/>
                <w:szCs w:val="28"/>
              </w:rPr>
              <w:t>千克标准煤/</w:t>
            </w:r>
            <w:r>
              <w:rPr>
                <w:rFonts w:hint="eastAsia" w:ascii="仿宋_GB2312" w:hAnsi="Arial" w:eastAsia="仿宋_GB2312"/>
                <w:color w:val="000000"/>
                <w:sz w:val="28"/>
                <w:szCs w:val="28"/>
                <w:lang w:eastAsia="zh-CN"/>
              </w:rPr>
              <w:t>千瓦时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33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hAnsi="Arial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color w:val="000000"/>
                <w:sz w:val="28"/>
                <w:szCs w:val="28"/>
              </w:rPr>
              <w:t>煤气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hAnsi="Arial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color w:val="000000"/>
                <w:sz w:val="28"/>
                <w:szCs w:val="28"/>
              </w:rPr>
              <w:t>0.5714千克标准煤/立方米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33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hAnsi="Arial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color w:val="000000"/>
                <w:sz w:val="28"/>
                <w:szCs w:val="28"/>
              </w:rPr>
              <w:t>天然气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hAnsi="Arial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color w:val="000000"/>
                <w:sz w:val="28"/>
                <w:szCs w:val="28"/>
              </w:rPr>
              <w:t>1.33千克标准煤/立方米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33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hAnsi="Arial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color w:val="000000"/>
                <w:sz w:val="28"/>
                <w:szCs w:val="28"/>
              </w:rPr>
              <w:t>液化石油气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hAnsi="Arial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color w:val="000000"/>
                <w:sz w:val="28"/>
                <w:szCs w:val="28"/>
              </w:rPr>
              <w:t>1.7143吨标准煤/吨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33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hAnsi="Arial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color w:val="000000"/>
                <w:sz w:val="28"/>
                <w:szCs w:val="28"/>
              </w:rPr>
              <w:t>汽油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hAnsi="Arial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color w:val="000000"/>
                <w:sz w:val="28"/>
                <w:szCs w:val="28"/>
              </w:rPr>
              <w:t>1.4714吨标准煤/吨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33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hAnsi="Arial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color w:val="000000"/>
                <w:sz w:val="28"/>
                <w:szCs w:val="28"/>
              </w:rPr>
              <w:t>煤油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hAnsi="Arial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color w:val="000000"/>
                <w:sz w:val="28"/>
                <w:szCs w:val="28"/>
              </w:rPr>
              <w:t>1.4714吨标准煤/吨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33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hAnsi="Arial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color w:val="000000"/>
                <w:sz w:val="28"/>
                <w:szCs w:val="28"/>
              </w:rPr>
              <w:t>柴油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hAnsi="Arial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color w:val="000000"/>
                <w:sz w:val="28"/>
                <w:szCs w:val="28"/>
              </w:rPr>
              <w:t>1.4571吨标准煤/吨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33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hAnsi="Arial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color w:val="000000"/>
                <w:sz w:val="28"/>
                <w:szCs w:val="28"/>
              </w:rPr>
              <w:t>燃料油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hAnsi="Arial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color w:val="000000"/>
                <w:sz w:val="28"/>
                <w:szCs w:val="28"/>
              </w:rPr>
              <w:t>1.4286吨标准煤/吨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33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hAnsi="Arial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color w:val="000000"/>
                <w:sz w:val="28"/>
                <w:szCs w:val="28"/>
              </w:rPr>
              <w:t>外购热力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hAnsi="Arial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color w:val="000000"/>
                <w:sz w:val="28"/>
                <w:szCs w:val="28"/>
              </w:rPr>
              <w:t>0.0341千克标准煤/百万焦耳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注：外购热力包括热水和蒸汽以及冷冻水。</w:t>
      </w:r>
    </w:p>
    <w:p>
      <w:pPr>
        <w:pStyle w:val="3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 xml:space="preserve"> 5.公共建筑节能绿色化改造项目节能量（率）应按照下式计算：</w:t>
      </w:r>
    </w:p>
    <w:p>
      <w:pPr>
        <w:wordWrap w:val="0"/>
        <w:adjustRightInd w:val="0"/>
        <w:snapToGrid w:val="0"/>
        <w:spacing w:line="360" w:lineRule="auto"/>
        <w:ind w:firstLine="640" w:firstLineChars="200"/>
        <w:jc w:val="center"/>
        <w:rPr>
          <w:rFonts w:ascii="仿宋_GB2312" w:hAnsi="Arial" w:eastAsia="仿宋_GB2312"/>
          <w:sz w:val="32"/>
          <w:szCs w:val="32"/>
        </w:rPr>
      </w:pPr>
      <w:r>
        <w:rPr>
          <w:rFonts w:hint="eastAsia" w:hAnsi="Cambria Math" w:eastAsia="仿宋_GB2312" w:cs="Arial"/>
          <w:i w:val="0"/>
          <w:sz w:val="32"/>
          <w:szCs w:val="32"/>
          <w:lang w:val="en-US" w:eastAsia="zh-CN"/>
        </w:rPr>
        <w:t xml:space="preserve">      </w:t>
      </w:r>
      <m:oMath>
        <m:sSub>
          <m:sSubPr>
            <m:ctrlPr>
              <w:rPr>
                <w:rFonts w:hint="eastAsia" w:ascii="Cambria Math" w:hAnsi="Cambria Math" w:eastAsia="仿宋_GB2312" w:cs="Arial"/>
                <w:sz w:val="32"/>
                <w:szCs w:val="32"/>
              </w:rPr>
            </m:ctrlPr>
          </m:sSubPr>
          <m:e>
            <m:r>
              <m:rPr/>
              <w:rPr>
                <w:rFonts w:hint="eastAsia" w:ascii="Cambria Math" w:hAnsi="Cambria Math" w:eastAsia="仿宋_GB2312" w:cs="Arial"/>
                <w:sz w:val="32"/>
                <w:szCs w:val="32"/>
              </w:rPr>
              <m:t xml:space="preserve">   E</m:t>
            </m:r>
            <m:ctrlPr>
              <w:rPr>
                <w:rFonts w:hint="eastAsia" w:ascii="Cambria Math" w:hAnsi="Cambria Math" w:eastAsia="仿宋_GB2312" w:cs="Arial"/>
                <w:sz w:val="32"/>
                <w:szCs w:val="32"/>
              </w:rPr>
            </m:ctrlPr>
          </m:e>
          <m:sub>
            <m:r>
              <m:rPr/>
              <w:rPr>
                <w:rFonts w:hint="eastAsia" w:ascii="DejaVu Math TeX Gyre" w:hAnsi="DejaVu Math TeX Gyre" w:eastAsia="仿宋_GB2312" w:cs="Arial"/>
                <w:sz w:val="32"/>
                <w:szCs w:val="32"/>
              </w:rPr>
              <m:t>节能</m:t>
            </m:r>
            <m:ctrlPr>
              <w:rPr>
                <w:rFonts w:hint="eastAsia" w:ascii="Cambria Math" w:hAnsi="Cambria Math" w:eastAsia="仿宋_GB2312" w:cs="Arial"/>
                <w:sz w:val="32"/>
                <w:szCs w:val="32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仿宋_GB2312" w:cs="Arial"/>
            <w:sz w:val="32"/>
            <w:szCs w:val="32"/>
          </w:rPr>
          <m:t>=</m:t>
        </m:r>
        <m:sSub>
          <m:sSubPr>
            <m:ctrlPr>
              <w:rPr>
                <w:rFonts w:hint="eastAsia" w:ascii="Cambria Math" w:hAnsi="Cambria Math" w:eastAsia="仿宋_GB2312" w:cs="Arial"/>
                <w:sz w:val="32"/>
                <w:szCs w:val="32"/>
              </w:rPr>
            </m:ctrlPr>
          </m:sSubPr>
          <m:e>
            <m:r>
              <m:rPr/>
              <w:rPr>
                <w:rFonts w:hint="eastAsia" w:ascii="Cambria Math" w:hAnsi="Cambria Math" w:eastAsia="仿宋_GB2312" w:cs="Arial"/>
                <w:sz w:val="32"/>
                <w:szCs w:val="32"/>
              </w:rPr>
              <m:t>E</m:t>
            </m:r>
            <m:ctrlPr>
              <w:rPr>
                <w:rFonts w:hint="eastAsia" w:ascii="Cambria Math" w:hAnsi="Cambria Math" w:eastAsia="仿宋_GB2312" w:cs="Arial"/>
                <w:sz w:val="32"/>
                <w:szCs w:val="32"/>
              </w:rPr>
            </m:ctrlPr>
          </m:e>
          <m:sub>
            <m:r>
              <m:rPr/>
              <w:rPr>
                <w:rFonts w:hint="default" w:ascii="DejaVu Math TeX Gyre" w:hAnsi="DejaVu Math TeX Gyre" w:eastAsia="仿宋_GB2312" w:cs="Arial"/>
                <w:sz w:val="32"/>
                <w:szCs w:val="32"/>
                <w:lang w:eastAsia="zh-CN"/>
              </w:rPr>
              <m:t>基期</m:t>
            </m:r>
            <m:ctrlPr>
              <w:rPr>
                <w:rFonts w:hint="eastAsia" w:ascii="Cambria Math" w:hAnsi="Cambria Math" w:eastAsia="仿宋_GB2312" w:cs="Arial"/>
                <w:sz w:val="32"/>
                <w:szCs w:val="32"/>
              </w:rPr>
            </m:ctrlPr>
          </m:sub>
        </m:sSub>
        <m:sSub>
          <m:sSubPr>
            <m:ctrlPr>
              <w:rPr>
                <w:rFonts w:hint="eastAsia" w:ascii="Cambria Math" w:hAnsi="Cambria Math" w:eastAsia="仿宋_GB2312" w:cs="Arial"/>
                <w:sz w:val="32"/>
                <w:szCs w:val="32"/>
              </w:rPr>
            </m:ctrlPr>
          </m:sSubPr>
          <m:e>
            <m:r>
              <m:rPr/>
              <w:rPr>
                <w:rFonts w:hint="eastAsia" w:ascii="仿宋_GB2312" w:hAnsi="Cambria Math" w:eastAsia="仿宋_GB2312" w:cs="Arial"/>
                <w:sz w:val="32"/>
                <w:szCs w:val="32"/>
              </w:rPr>
              <m:t>−</m:t>
            </m:r>
            <m:r>
              <m:rPr/>
              <w:rPr>
                <w:rFonts w:hint="eastAsia" w:ascii="Cambria Math" w:hAnsi="Cambria Math" w:eastAsia="仿宋_GB2312" w:cs="Arial"/>
                <w:sz w:val="32"/>
                <w:szCs w:val="32"/>
              </w:rPr>
              <m:t>E</m:t>
            </m:r>
            <m:ctrlPr>
              <w:rPr>
                <w:rFonts w:hint="eastAsia" w:ascii="Cambria Math" w:hAnsi="Cambria Math" w:eastAsia="仿宋_GB2312" w:cs="Arial"/>
                <w:sz w:val="32"/>
                <w:szCs w:val="32"/>
              </w:rPr>
            </m:ctrlPr>
          </m:e>
          <m:sub>
            <m:r>
              <m:rPr/>
              <w:rPr>
                <w:rFonts w:hint="eastAsia" w:ascii="DejaVu Math TeX Gyre" w:hAnsi="DejaVu Math TeX Gyre" w:eastAsia="仿宋_GB2312" w:cs="Arial"/>
                <w:sz w:val="32"/>
                <w:szCs w:val="32"/>
              </w:rPr>
              <m:t>报告期</m:t>
            </m:r>
            <m:ctrlPr>
              <w:rPr>
                <w:rFonts w:hint="eastAsia" w:ascii="Cambria Math" w:hAnsi="Cambria Math" w:eastAsia="仿宋_GB2312" w:cs="Arial"/>
                <w:sz w:val="32"/>
                <w:szCs w:val="32"/>
              </w:rPr>
            </m:ctrlPr>
          </m:sub>
        </m:sSub>
      </m:oMath>
      <w:r>
        <w:rPr>
          <w:rFonts w:hint="eastAsia" w:ascii="仿宋_GB2312" w:hAnsi="Arial" w:eastAsia="仿宋_GB2312"/>
          <w:sz w:val="32"/>
          <w:szCs w:val="32"/>
          <w:vertAlign w:val="subscript"/>
        </w:rPr>
        <w:t>　</w:t>
      </w:r>
      <w:r>
        <w:rPr>
          <w:rFonts w:hint="eastAsia" w:ascii="仿宋_GB2312" w:hAnsi="Arial" w:eastAsia="仿宋_GB2312"/>
          <w:color w:val="000000"/>
          <w:sz w:val="32"/>
          <w:szCs w:val="32"/>
        </w:rPr>
        <w:t>　　</w:t>
      </w:r>
      <w:r>
        <w:rPr>
          <w:rFonts w:hint="eastAsia" w:ascii="仿宋_GB2312" w:hAnsi="Arial" w:eastAsia="仿宋_GB2312"/>
          <w:color w:val="C0504D"/>
          <w:sz w:val="32"/>
          <w:szCs w:val="32"/>
        </w:rPr>
        <w:t>　</w:t>
      </w:r>
      <w:r>
        <w:rPr>
          <w:rFonts w:hint="eastAsia" w:ascii="仿宋_GB2312" w:hAnsi="Arial" w:eastAsia="仿宋_GB2312"/>
          <w:sz w:val="32"/>
          <w:szCs w:val="32"/>
          <w:vertAlign w:val="subscript"/>
        </w:rPr>
        <w:t>　</w:t>
      </w:r>
      <w:bookmarkStart w:id="0" w:name="OLE_LINK1"/>
      <w:bookmarkStart w:id="1" w:name="OLE_LINK3"/>
      <w:bookmarkStart w:id="2" w:name="OLE_LINK2"/>
      <w:r>
        <w:rPr>
          <w:rFonts w:hint="eastAsia" w:ascii="仿宋_GB2312" w:hAnsi="Arial" w:eastAsia="仿宋_GB2312"/>
          <w:sz w:val="32"/>
          <w:szCs w:val="32"/>
          <w:vertAlign w:val="subscript"/>
          <w:lang w:val="en-US" w:eastAsia="zh-CN"/>
        </w:rPr>
        <w:t xml:space="preserve">        </w:t>
      </w:r>
      <w:r>
        <w:rPr>
          <w:rFonts w:hint="eastAsia" w:ascii="仿宋_GB2312" w:hAnsi="Arial" w:eastAsia="仿宋_GB2312"/>
          <w:sz w:val="32"/>
          <w:szCs w:val="32"/>
        </w:rPr>
        <w:t>（1）</w:t>
      </w:r>
      <w:bookmarkEnd w:id="0"/>
      <w:bookmarkEnd w:id="1"/>
      <w:bookmarkEnd w:id="2"/>
    </w:p>
    <w:p>
      <w:pPr>
        <w:wordWrap w:val="0"/>
        <w:adjustRightInd w:val="0"/>
        <w:snapToGrid w:val="0"/>
        <w:spacing w:line="360" w:lineRule="auto"/>
        <w:jc w:val="both"/>
        <w:rPr>
          <w:rFonts w:ascii="仿宋_GB2312" w:hAnsi="Arial" w:eastAsia="仿宋_GB2312"/>
          <w:color w:val="C0504D"/>
          <w:sz w:val="32"/>
          <w:szCs w:val="32"/>
        </w:rPr>
      </w:pPr>
      <w:r>
        <w:rPr>
          <w:rFonts w:hint="eastAsia" w:ascii="仿宋_GB2312" w:hAnsi="Arial" w:eastAsia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Arial" w:eastAsia="仿宋_GB2312"/>
          <w:i/>
          <w:sz w:val="32"/>
          <w:szCs w:val="32"/>
        </w:rPr>
        <w:t>η</w:t>
      </w:r>
      <m:oMath>
        <m:r>
          <m:rPr/>
          <w:rPr>
            <w:rFonts w:hint="default" w:ascii="DejaVu Math TeX Gyre" w:hAnsi="DejaVu Math TeX Gyre" w:cs="Times New Roman"/>
            <w:sz w:val="32"/>
            <w:szCs w:val="32"/>
            <w:lang w:val="en-US"/>
          </w:rPr>
          <m:t>=</m:t>
        </m:r>
        <m:f>
          <m:fPr>
            <m:ctrlPr>
              <w:rPr>
                <w:rFonts w:hint="eastAsia" w:ascii="DejaVu Math TeX Gyre" w:hAnsi="DejaVu Math TeX Gyre" w:eastAsia="仿宋_GB2312" w:cs="仿宋_GB2312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hint="eastAsia" w:ascii="DejaVu Math TeX Gyre" w:hAnsi="DejaVu Math TeX Gyre" w:eastAsia="仿宋_GB2312" w:cs="仿宋_GB2312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m:rPr/>
                  <w:rPr>
                    <w:rFonts w:hint="eastAsia" w:ascii="DejaVu Math TeX Gyre" w:hAnsi="DejaVu Math TeX Gyre" w:eastAsia="仿宋_GB2312" w:cs="仿宋_GB2312"/>
                    <w:sz w:val="32"/>
                    <w:szCs w:val="32"/>
                    <w:lang w:val="en-US" w:eastAsia="zh-CN"/>
                  </w:rPr>
                  <m:t>E</m:t>
                </m:r>
                <m:ctrlPr>
                  <w:rPr>
                    <w:rFonts w:hint="eastAsia" w:ascii="DejaVu Math TeX Gyre" w:hAnsi="DejaVu Math TeX Gyre" w:eastAsia="仿宋_GB2312" w:cs="仿宋_GB2312"/>
                    <w:i/>
                    <w:sz w:val="32"/>
                    <w:szCs w:val="32"/>
                    <w:lang w:val="en-US"/>
                  </w:rPr>
                </m:ctrlPr>
              </m:e>
              <m:sub>
                <m:r>
                  <m:rPr/>
                  <w:rPr>
                    <w:rFonts w:hint="eastAsia" w:ascii="DejaVu Math TeX Gyre" w:hAnsi="DejaVu Math TeX Gyre" w:eastAsia="仿宋_GB2312" w:cs="仿宋_GB2312"/>
                    <w:sz w:val="32"/>
                    <w:szCs w:val="32"/>
                    <w:lang w:val="en-US" w:eastAsia="zh-CN"/>
                  </w:rPr>
                  <m:t>节能</m:t>
                </m:r>
                <m:ctrlPr>
                  <w:rPr>
                    <w:rFonts w:hint="eastAsia" w:ascii="DejaVu Math TeX Gyre" w:hAnsi="DejaVu Math TeX Gyre" w:eastAsia="仿宋_GB2312" w:cs="仿宋_GB2312"/>
                    <w:i/>
                    <w:sz w:val="32"/>
                    <w:szCs w:val="32"/>
                    <w:lang w:val="en-US"/>
                  </w:rPr>
                </m:ctrlPr>
              </m:sub>
            </m:sSub>
            <m:ctrlPr>
              <w:rPr>
                <w:rFonts w:hint="eastAsia" w:ascii="DejaVu Math TeX Gyre" w:hAnsi="DejaVu Math TeX Gyre" w:eastAsia="仿宋_GB2312" w:cs="仿宋_GB2312"/>
                <w:i/>
                <w:sz w:val="32"/>
                <w:szCs w:val="32"/>
                <w:lang w:val="en-US"/>
              </w:rPr>
            </m:ctrlPr>
          </m:num>
          <m:den>
            <m:sSub>
              <m:sSubPr>
                <m:ctrlPr>
                  <w:rPr>
                    <w:rFonts w:hint="eastAsia" w:ascii="DejaVu Math TeX Gyre" w:hAnsi="DejaVu Math TeX Gyre" w:eastAsia="仿宋_GB2312" w:cs="仿宋_GB2312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m:rPr/>
                  <w:rPr>
                    <w:rFonts w:hint="eastAsia" w:ascii="DejaVu Math TeX Gyre" w:hAnsi="DejaVu Math TeX Gyre" w:eastAsia="仿宋_GB2312" w:cs="仿宋_GB2312"/>
                    <w:sz w:val="32"/>
                    <w:szCs w:val="32"/>
                    <w:lang w:val="en-US" w:eastAsia="zh-CN"/>
                  </w:rPr>
                  <m:t>E</m:t>
                </m:r>
                <m:ctrlPr>
                  <w:rPr>
                    <w:rFonts w:hint="eastAsia" w:ascii="DejaVu Math TeX Gyre" w:hAnsi="DejaVu Math TeX Gyre" w:eastAsia="仿宋_GB2312" w:cs="仿宋_GB2312"/>
                    <w:i/>
                    <w:sz w:val="32"/>
                    <w:szCs w:val="32"/>
                    <w:lang w:val="en-US"/>
                  </w:rPr>
                </m:ctrlPr>
              </m:e>
              <m:sub>
                <m:r>
                  <m:rPr/>
                  <w:rPr>
                    <w:rFonts w:hint="eastAsia" w:ascii="DejaVu Math TeX Gyre" w:hAnsi="DejaVu Math TeX Gyre" w:eastAsia="仿宋_GB2312" w:cs="仿宋_GB2312"/>
                    <w:sz w:val="32"/>
                    <w:szCs w:val="32"/>
                    <w:lang w:val="en-US" w:eastAsia="zh-CN"/>
                  </w:rPr>
                  <m:t>基期</m:t>
                </m:r>
                <m:ctrlPr>
                  <w:rPr>
                    <w:rFonts w:hint="eastAsia" w:ascii="DejaVu Math TeX Gyre" w:hAnsi="DejaVu Math TeX Gyre" w:eastAsia="仿宋_GB2312" w:cs="仿宋_GB2312"/>
                    <w:i/>
                    <w:sz w:val="32"/>
                    <w:szCs w:val="32"/>
                    <w:lang w:val="en-US"/>
                  </w:rPr>
                </m:ctrlPr>
              </m:sub>
            </m:sSub>
            <m:ctrlPr>
              <w:rPr>
                <w:rFonts w:hint="eastAsia" w:ascii="DejaVu Math TeX Gyre" w:hAnsi="DejaVu Math TeX Gyre" w:eastAsia="仿宋_GB2312" w:cs="仿宋_GB2312"/>
                <w:i/>
                <w:sz w:val="32"/>
                <w:szCs w:val="32"/>
                <w:lang w:val="en-US"/>
              </w:rPr>
            </m:ctrlPr>
          </m:den>
        </m:f>
        <m:r>
          <m:rPr/>
          <w:rPr>
            <w:rFonts w:hint="eastAsia" w:ascii="DejaVu Math TeX Gyre" w:hAnsi="DejaVu Math TeX Gyre" w:eastAsia="仿宋_GB2312" w:cs="仿宋_GB2312"/>
            <w:sz w:val="32"/>
            <w:szCs w:val="32"/>
            <w:lang w:val="en-US"/>
          </w:rPr>
          <m:t>×</m:t>
        </m:r>
        <m:r>
          <m:rPr/>
          <w:rPr>
            <w:rFonts w:hint="eastAsia" w:ascii="DejaVu Math TeX Gyre" w:hAnsi="DejaVu Math TeX Gyre" w:eastAsia="仿宋_GB2312" w:cs="仿宋_GB2312"/>
            <w:sz w:val="32"/>
            <w:szCs w:val="32"/>
            <w:lang w:val="en-US" w:eastAsia="zh-CN"/>
          </w:rPr>
          <m:t>100%</m:t>
        </m:r>
      </m:oMath>
      <w:r>
        <w:rPr>
          <w:rFonts w:hint="eastAsia" w:ascii="仿宋_GB2312" w:hAnsi="Arial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Arial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Arial" w:eastAsia="仿宋_GB2312"/>
          <w:color w:val="auto"/>
          <w:spacing w:val="-2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Arial" w:eastAsia="仿宋_GB2312"/>
          <w:color w:val="auto"/>
          <w:sz w:val="32"/>
          <w:szCs w:val="32"/>
        </w:rPr>
        <w:t>（2）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Arial" w:eastAsia="仿宋_GB2312"/>
          <w:sz w:val="32"/>
          <w:szCs w:val="32"/>
        </w:rPr>
      </w:pPr>
      <w:r>
        <w:rPr>
          <w:rFonts w:hint="eastAsia" w:ascii="仿宋_GB2312" w:hAnsi="Arial" w:eastAsia="仿宋_GB2312"/>
          <w:sz w:val="32"/>
          <w:szCs w:val="32"/>
        </w:rPr>
        <w:t>式中，</w:t>
      </w:r>
      <m:oMath>
        <m:sSub>
          <m:sSubPr>
            <m:ctrlPr>
              <w:rPr>
                <w:rFonts w:hint="eastAsia" w:ascii="Cambria Math" w:hAnsi="Cambria Math" w:eastAsia="仿宋_GB2312" w:cs="Arial"/>
                <w:sz w:val="32"/>
                <w:szCs w:val="32"/>
              </w:rPr>
            </m:ctrlPr>
          </m:sSubPr>
          <m:e>
            <m:r>
              <m:rPr/>
              <w:rPr>
                <w:rFonts w:hint="eastAsia" w:ascii="Cambria Math" w:hAnsi="Cambria Math" w:eastAsia="仿宋_GB2312" w:cs="Arial"/>
                <w:sz w:val="32"/>
                <w:szCs w:val="32"/>
              </w:rPr>
              <m:t>E</m:t>
            </m:r>
            <m:ctrlPr>
              <w:rPr>
                <w:rFonts w:hint="eastAsia" w:ascii="Cambria Math" w:hAnsi="Cambria Math" w:eastAsia="仿宋_GB2312" w:cs="Arial"/>
                <w:sz w:val="32"/>
                <w:szCs w:val="32"/>
              </w:rPr>
            </m:ctrlPr>
          </m:e>
          <m:sub>
            <m:r>
              <m:rPr/>
              <w:rPr>
                <w:rFonts w:hint="eastAsia" w:ascii="DejaVu Math TeX Gyre" w:hAnsi="DejaVu Math TeX Gyre" w:eastAsia="仿宋_GB2312" w:cs="Arial"/>
                <w:sz w:val="32"/>
                <w:szCs w:val="32"/>
              </w:rPr>
              <m:t>节能</m:t>
            </m:r>
            <m:ctrlPr>
              <w:rPr>
                <w:rFonts w:hint="eastAsia" w:ascii="Cambria Math" w:hAnsi="Cambria Math" w:eastAsia="仿宋_GB2312" w:cs="Arial"/>
                <w:sz w:val="32"/>
                <w:szCs w:val="32"/>
              </w:rPr>
            </m:ctrlPr>
          </m:sub>
        </m:sSub>
      </m:oMath>
      <w:r>
        <w:rPr>
          <w:rFonts w:hint="eastAsia" w:ascii="仿宋_GB2312" w:eastAsia="仿宋_GB2312"/>
          <w:spacing w:val="-4"/>
          <w:sz w:val="32"/>
          <w:szCs w:val="32"/>
        </w:rPr>
        <w:t>——</w:t>
      </w:r>
      <w:r>
        <w:rPr>
          <w:rFonts w:hint="eastAsia" w:ascii="仿宋_GB2312" w:hAnsi="Arial" w:eastAsia="仿宋_GB2312"/>
          <w:sz w:val="32"/>
          <w:szCs w:val="32"/>
        </w:rPr>
        <w:t>节能量</w:t>
      </w:r>
      <w:r>
        <w:rPr>
          <w:rFonts w:hint="eastAsia" w:ascii="仿宋_GB2312" w:hAnsi="Arial" w:eastAsia="仿宋_GB2312"/>
          <w:spacing w:val="-4"/>
          <w:sz w:val="32"/>
          <w:szCs w:val="32"/>
        </w:rPr>
        <w:t>（kgce）</w:t>
      </w:r>
      <w:r>
        <w:rPr>
          <w:rFonts w:hint="eastAsia" w:ascii="仿宋_GB2312" w:hAnsi="Arial" w:eastAsia="仿宋_GB2312"/>
          <w:sz w:val="32"/>
          <w:szCs w:val="32"/>
        </w:rPr>
        <w:t>；</w:t>
      </w:r>
    </w:p>
    <w:p>
      <w:pPr>
        <w:tabs>
          <w:tab w:val="left" w:pos="1276"/>
        </w:tabs>
        <w:adjustRightInd w:val="0"/>
        <w:snapToGrid w:val="0"/>
        <w:spacing w:line="360" w:lineRule="auto"/>
        <w:ind w:firstLine="1600" w:firstLineChars="500"/>
        <w:rPr>
          <w:rFonts w:ascii="仿宋_GB2312" w:hAnsi="Arial" w:eastAsia="仿宋_GB2312"/>
          <w:color w:val="000000"/>
          <w:sz w:val="32"/>
          <w:szCs w:val="32"/>
        </w:rPr>
      </w:pPr>
      <m:oMath>
        <m:sSub>
          <m:sSubPr>
            <m:ctrlPr>
              <w:rPr>
                <w:rFonts w:hint="eastAsia" w:ascii="Cambria Math" w:hAnsi="Cambria Math" w:eastAsia="仿宋_GB2312" w:cs="Arial"/>
                <w:sz w:val="32"/>
                <w:szCs w:val="32"/>
              </w:rPr>
            </m:ctrlPr>
          </m:sSubPr>
          <m:e>
            <m:r>
              <m:rPr/>
              <w:rPr>
                <w:rFonts w:hint="eastAsia" w:ascii="Cambria Math" w:hAnsi="Cambria Math" w:eastAsia="仿宋_GB2312" w:cs="Arial"/>
                <w:sz w:val="32"/>
                <w:szCs w:val="32"/>
              </w:rPr>
              <m:t>E</m:t>
            </m:r>
            <m:ctrlPr>
              <w:rPr>
                <w:rFonts w:hint="eastAsia" w:ascii="Cambria Math" w:hAnsi="Cambria Math" w:eastAsia="仿宋_GB2312" w:cs="Arial"/>
                <w:sz w:val="32"/>
                <w:szCs w:val="32"/>
              </w:rPr>
            </m:ctrlPr>
          </m:e>
          <m:sub>
            <m:r>
              <m:rPr/>
              <w:rPr>
                <w:rFonts w:hint="eastAsia" w:ascii="DejaVu Math TeX Gyre" w:hAnsi="DejaVu Math TeX Gyre" w:eastAsia="仿宋_GB2312" w:cs="Arial"/>
                <w:sz w:val="32"/>
                <w:szCs w:val="32"/>
              </w:rPr>
              <m:t>报告期</m:t>
            </m:r>
            <m:ctrlPr>
              <w:rPr>
                <w:rFonts w:hint="eastAsia" w:ascii="Cambria Math" w:hAnsi="Cambria Math" w:eastAsia="仿宋_GB2312" w:cs="Arial"/>
                <w:sz w:val="32"/>
                <w:szCs w:val="32"/>
              </w:rPr>
            </m:ctrlPr>
          </m:sub>
        </m:sSub>
      </m:oMath>
      <w:r>
        <w:rPr>
          <w:rFonts w:hint="eastAsia" w:ascii="仿宋_GB2312" w:eastAsia="仿宋_GB2312"/>
          <w:color w:val="000000"/>
          <w:spacing w:val="-4"/>
          <w:sz w:val="32"/>
          <w:szCs w:val="32"/>
        </w:rPr>
        <w:t>——</w:t>
      </w:r>
      <w:r>
        <w:rPr>
          <w:rFonts w:hint="eastAsia" w:ascii="仿宋_GB2312" w:hAnsi="Arial" w:eastAsia="仿宋_GB2312"/>
          <w:color w:val="000000"/>
          <w:sz w:val="32"/>
          <w:szCs w:val="32"/>
        </w:rPr>
        <w:t>报告期建筑能耗</w:t>
      </w:r>
      <w:r>
        <w:rPr>
          <w:rFonts w:hint="eastAsia" w:ascii="仿宋_GB2312" w:hAnsi="Arial" w:eastAsia="仿宋_GB2312"/>
          <w:color w:val="000000"/>
          <w:spacing w:val="-4"/>
          <w:sz w:val="32"/>
          <w:szCs w:val="32"/>
        </w:rPr>
        <w:t>（kgce）</w:t>
      </w:r>
      <w:r>
        <w:rPr>
          <w:rFonts w:hint="eastAsia" w:ascii="仿宋_GB2312" w:hAnsi="Arial" w:eastAsia="仿宋_GB2312"/>
          <w:color w:val="000000"/>
          <w:sz w:val="32"/>
          <w:szCs w:val="32"/>
        </w:rPr>
        <w:t>；</w:t>
      </w:r>
    </w:p>
    <w:p>
      <w:pPr>
        <w:adjustRightInd w:val="0"/>
        <w:snapToGrid w:val="0"/>
        <w:spacing w:line="360" w:lineRule="auto"/>
        <w:ind w:firstLine="1600" w:firstLineChars="500"/>
        <w:jc w:val="left"/>
        <w:rPr>
          <w:rFonts w:hint="eastAsia" w:ascii="仿宋_GB2312" w:hAnsi="Arial" w:eastAsia="仿宋_GB2312"/>
          <w:color w:val="000000"/>
          <w:spacing w:val="-4"/>
          <w:sz w:val="32"/>
          <w:szCs w:val="32"/>
          <w:lang w:eastAsia="zh-CN"/>
        </w:rPr>
      </w:pPr>
      <m:oMath>
        <m:sSub>
          <m:sSubPr>
            <m:ctrlPr>
              <w:rPr>
                <w:rFonts w:hint="eastAsia" w:ascii="Cambria Math" w:hAnsi="Cambria Math" w:eastAsia="仿宋_GB2312" w:cs="Arial"/>
                <w:sz w:val="32"/>
                <w:szCs w:val="32"/>
              </w:rPr>
            </m:ctrlPr>
          </m:sSubPr>
          <m:e>
            <m:r>
              <m:rPr/>
              <w:rPr>
                <w:rFonts w:hint="eastAsia" w:ascii="Cambria Math" w:hAnsi="Cambria Math" w:eastAsia="仿宋_GB2312" w:cs="Arial"/>
                <w:sz w:val="32"/>
                <w:szCs w:val="32"/>
              </w:rPr>
              <m:t>E</m:t>
            </m:r>
            <m:ctrlPr>
              <w:rPr>
                <w:rFonts w:hint="eastAsia" w:ascii="Cambria Math" w:hAnsi="Cambria Math" w:eastAsia="仿宋_GB2312" w:cs="Arial"/>
                <w:sz w:val="32"/>
                <w:szCs w:val="32"/>
              </w:rPr>
            </m:ctrlPr>
          </m:e>
          <m:sub>
            <m:r>
              <m:rPr/>
              <w:rPr>
                <w:rFonts w:hint="eastAsia" w:ascii="DejaVu Math TeX Gyre" w:hAnsi="DejaVu Math TeX Gyre" w:eastAsia="仿宋_GB2312" w:cs="Arial"/>
                <w:sz w:val="32"/>
                <w:szCs w:val="32"/>
              </w:rPr>
              <m:t>基期</m:t>
            </m:r>
            <m:ctrlPr>
              <w:rPr>
                <w:rFonts w:hint="eastAsia" w:ascii="Cambria Math" w:hAnsi="Cambria Math" w:eastAsia="仿宋_GB2312" w:cs="Arial"/>
                <w:sz w:val="32"/>
                <w:szCs w:val="32"/>
              </w:rPr>
            </m:ctrlPr>
          </m:sub>
        </m:sSub>
      </m:oMath>
      <w:r>
        <w:rPr>
          <w:rFonts w:hint="eastAsia" w:ascii="仿宋_GB2312" w:eastAsia="仿宋_GB2312"/>
          <w:color w:val="000000"/>
          <w:spacing w:val="-4"/>
          <w:sz w:val="32"/>
          <w:szCs w:val="32"/>
        </w:rPr>
        <w:t>——</w:t>
      </w:r>
      <w:r>
        <w:rPr>
          <w:rFonts w:hint="eastAsia" w:ascii="仿宋_GB2312" w:hAnsi="Arial" w:eastAsia="仿宋_GB2312"/>
          <w:color w:val="000000"/>
          <w:sz w:val="32"/>
          <w:szCs w:val="32"/>
        </w:rPr>
        <w:t>基期建筑能耗</w:t>
      </w:r>
      <w:r>
        <w:rPr>
          <w:rFonts w:hint="eastAsia" w:ascii="仿宋_GB2312" w:hAnsi="Arial" w:eastAsia="仿宋_GB2312"/>
          <w:color w:val="000000"/>
          <w:spacing w:val="-4"/>
          <w:sz w:val="32"/>
          <w:szCs w:val="32"/>
        </w:rPr>
        <w:t>（kgce）</w:t>
      </w:r>
      <w:r>
        <w:rPr>
          <w:rFonts w:hint="eastAsia" w:ascii="仿宋_GB2312" w:hAnsi="Arial" w:eastAsia="仿宋_GB2312"/>
          <w:color w:val="000000"/>
          <w:spacing w:val="-4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360" w:lineRule="auto"/>
        <w:ind w:firstLine="1600" w:firstLineChars="500"/>
        <w:jc w:val="left"/>
        <w:rPr>
          <w:rFonts w:hint="eastAsia" w:ascii="仿宋_GB2312" w:hAnsi="Arial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Arial" w:eastAsia="仿宋_GB2312"/>
          <w:i/>
          <w:color w:val="000000"/>
          <w:sz w:val="32"/>
          <w:szCs w:val="32"/>
        </w:rPr>
        <w:t>η</w:t>
      </w:r>
      <w:r>
        <w:rPr>
          <w:rFonts w:hint="eastAsia" w:ascii="仿宋_GB2312" w:eastAsia="仿宋_GB2312"/>
          <w:color w:val="000000"/>
          <w:sz w:val="32"/>
          <w:szCs w:val="32"/>
        </w:rPr>
        <w:t>——</w:t>
      </w:r>
      <w:r>
        <w:rPr>
          <w:rFonts w:hint="eastAsia" w:ascii="仿宋_GB2312" w:hAnsi="Arial" w:eastAsia="仿宋_GB2312"/>
          <w:color w:val="000000"/>
          <w:sz w:val="32"/>
          <w:szCs w:val="32"/>
        </w:rPr>
        <w:t>节能率（%）</w:t>
      </w:r>
      <w:r>
        <w:rPr>
          <w:rFonts w:hint="eastAsia" w:ascii="仿宋_GB2312" w:hAnsi="Arial" w:eastAsia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360" w:lineRule="auto"/>
        <w:ind w:left="84" w:leftChars="40" w:firstLine="800" w:firstLineChars="250"/>
        <w:jc w:val="left"/>
        <w:rPr>
          <w:rFonts w:hint="eastAsia" w:ascii="仿宋_GB2312" w:hAnsi="Arial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7920"/>
          <w:tab w:val="left" w:pos="8100"/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/>
          <w:color w:val="000000"/>
          <w:sz w:val="32"/>
          <w:szCs w:val="32"/>
          <w:lang w:val="en-US" w:eastAsia="zh-CN"/>
        </w:rPr>
        <w:t xml:space="preserve">  </w:t>
      </w:r>
      <w:bookmarkStart w:id="3" w:name="_GoBack"/>
      <w:bookmarkEnd w:id="3"/>
    </w:p>
    <w:sectPr>
      <w:headerReference r:id="rId3" w:type="default"/>
      <w:footerReference r:id="rId4" w:type="default"/>
      <w:pgSz w:w="11906" w:h="16838"/>
      <w:pgMar w:top="1701" w:right="1474" w:bottom="1701" w:left="1588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altName w:val="DejaVu Math TeX Gyre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79"/>
    <w:rsid w:val="00011057"/>
    <w:rsid w:val="000740F0"/>
    <w:rsid w:val="00080D6C"/>
    <w:rsid w:val="000A2AC5"/>
    <w:rsid w:val="00120697"/>
    <w:rsid w:val="00165A08"/>
    <w:rsid w:val="001C6583"/>
    <w:rsid w:val="001F432E"/>
    <w:rsid w:val="00216AFF"/>
    <w:rsid w:val="002634D9"/>
    <w:rsid w:val="002865D2"/>
    <w:rsid w:val="002D5FC6"/>
    <w:rsid w:val="002F482E"/>
    <w:rsid w:val="00316DCC"/>
    <w:rsid w:val="00333B51"/>
    <w:rsid w:val="00345685"/>
    <w:rsid w:val="00353761"/>
    <w:rsid w:val="00366A6C"/>
    <w:rsid w:val="003C7EFA"/>
    <w:rsid w:val="003E5F4D"/>
    <w:rsid w:val="003F56C8"/>
    <w:rsid w:val="00422D33"/>
    <w:rsid w:val="004847EE"/>
    <w:rsid w:val="004A6788"/>
    <w:rsid w:val="004B5986"/>
    <w:rsid w:val="004C7840"/>
    <w:rsid w:val="004E36C3"/>
    <w:rsid w:val="00501CD2"/>
    <w:rsid w:val="0052535C"/>
    <w:rsid w:val="00547C0E"/>
    <w:rsid w:val="005A487E"/>
    <w:rsid w:val="005C5A85"/>
    <w:rsid w:val="006133AA"/>
    <w:rsid w:val="00656479"/>
    <w:rsid w:val="00673900"/>
    <w:rsid w:val="00680CF2"/>
    <w:rsid w:val="006D240E"/>
    <w:rsid w:val="006E0862"/>
    <w:rsid w:val="006F07F4"/>
    <w:rsid w:val="007023E4"/>
    <w:rsid w:val="007142BF"/>
    <w:rsid w:val="0071639C"/>
    <w:rsid w:val="0072302A"/>
    <w:rsid w:val="007601BA"/>
    <w:rsid w:val="007940BD"/>
    <w:rsid w:val="007A2066"/>
    <w:rsid w:val="007A2E99"/>
    <w:rsid w:val="007B237A"/>
    <w:rsid w:val="007B6A92"/>
    <w:rsid w:val="007C65BE"/>
    <w:rsid w:val="007D19ED"/>
    <w:rsid w:val="008218B7"/>
    <w:rsid w:val="00831357"/>
    <w:rsid w:val="008322DF"/>
    <w:rsid w:val="00881627"/>
    <w:rsid w:val="008A5740"/>
    <w:rsid w:val="008F1149"/>
    <w:rsid w:val="009201B9"/>
    <w:rsid w:val="00963AA6"/>
    <w:rsid w:val="00964E18"/>
    <w:rsid w:val="00966D7B"/>
    <w:rsid w:val="009A5CA5"/>
    <w:rsid w:val="00A16566"/>
    <w:rsid w:val="00A23E47"/>
    <w:rsid w:val="00A448B0"/>
    <w:rsid w:val="00A4654E"/>
    <w:rsid w:val="00A548B2"/>
    <w:rsid w:val="00AA0DDA"/>
    <w:rsid w:val="00AA7752"/>
    <w:rsid w:val="00AE11EA"/>
    <w:rsid w:val="00B22F10"/>
    <w:rsid w:val="00B36040"/>
    <w:rsid w:val="00B5235D"/>
    <w:rsid w:val="00B631C9"/>
    <w:rsid w:val="00B74B13"/>
    <w:rsid w:val="00B8307A"/>
    <w:rsid w:val="00B94892"/>
    <w:rsid w:val="00BD4B7D"/>
    <w:rsid w:val="00BF1CCE"/>
    <w:rsid w:val="00C01CA8"/>
    <w:rsid w:val="00C23CA4"/>
    <w:rsid w:val="00CA5B17"/>
    <w:rsid w:val="00D134FE"/>
    <w:rsid w:val="00D40DE6"/>
    <w:rsid w:val="00D515FA"/>
    <w:rsid w:val="00D65698"/>
    <w:rsid w:val="00D93C50"/>
    <w:rsid w:val="00E209E9"/>
    <w:rsid w:val="00E2381B"/>
    <w:rsid w:val="00E32E45"/>
    <w:rsid w:val="00E81C01"/>
    <w:rsid w:val="00E95610"/>
    <w:rsid w:val="00EB0492"/>
    <w:rsid w:val="00EC6FC7"/>
    <w:rsid w:val="00ED05A2"/>
    <w:rsid w:val="00EF348E"/>
    <w:rsid w:val="00F032EC"/>
    <w:rsid w:val="00F947C6"/>
    <w:rsid w:val="00FA3593"/>
    <w:rsid w:val="00FC55CD"/>
    <w:rsid w:val="00FD7E4B"/>
    <w:rsid w:val="0FFFEE13"/>
    <w:rsid w:val="1677533D"/>
    <w:rsid w:val="1BD87F71"/>
    <w:rsid w:val="1FF62CA8"/>
    <w:rsid w:val="25FF0B5C"/>
    <w:rsid w:val="2FF75461"/>
    <w:rsid w:val="2FFD7B85"/>
    <w:rsid w:val="36F957C1"/>
    <w:rsid w:val="3BAF2A00"/>
    <w:rsid w:val="3DFF9FEA"/>
    <w:rsid w:val="3F4FAAF2"/>
    <w:rsid w:val="45BFAB26"/>
    <w:rsid w:val="4A2F767C"/>
    <w:rsid w:val="4EDD27AD"/>
    <w:rsid w:val="5B1F079E"/>
    <w:rsid w:val="5BFFD2A8"/>
    <w:rsid w:val="5D5BF1EE"/>
    <w:rsid w:val="673212B8"/>
    <w:rsid w:val="67FCB10A"/>
    <w:rsid w:val="6AEE5D84"/>
    <w:rsid w:val="6CCFA0E1"/>
    <w:rsid w:val="6DCC2320"/>
    <w:rsid w:val="6EF69C4F"/>
    <w:rsid w:val="73BFD4C6"/>
    <w:rsid w:val="77BFA06F"/>
    <w:rsid w:val="78FE9A4C"/>
    <w:rsid w:val="7B6DE891"/>
    <w:rsid w:val="7B9F464F"/>
    <w:rsid w:val="7DBD32DD"/>
    <w:rsid w:val="7DF03491"/>
    <w:rsid w:val="7EBF7446"/>
    <w:rsid w:val="7ED989FF"/>
    <w:rsid w:val="7EFCC7AB"/>
    <w:rsid w:val="7FA3B457"/>
    <w:rsid w:val="7FBFA0C7"/>
    <w:rsid w:val="7FE71E2C"/>
    <w:rsid w:val="7FE7D466"/>
    <w:rsid w:val="85DFF88A"/>
    <w:rsid w:val="9AF2C341"/>
    <w:rsid w:val="9FBFE643"/>
    <w:rsid w:val="AC9E9A3A"/>
    <w:rsid w:val="AFFFD27E"/>
    <w:rsid w:val="BBF8AC61"/>
    <w:rsid w:val="BE4F596C"/>
    <w:rsid w:val="BF55F15C"/>
    <w:rsid w:val="C05F7A36"/>
    <w:rsid w:val="C7CF94FB"/>
    <w:rsid w:val="CF6FB58B"/>
    <w:rsid w:val="CFAEDA17"/>
    <w:rsid w:val="D6EA53B0"/>
    <w:rsid w:val="D779B1C2"/>
    <w:rsid w:val="DAFF52F4"/>
    <w:rsid w:val="DDE12018"/>
    <w:rsid w:val="EC7D9C8E"/>
    <w:rsid w:val="ED57B76C"/>
    <w:rsid w:val="EF3F1CD1"/>
    <w:rsid w:val="EF5FD2EE"/>
    <w:rsid w:val="EF6FE864"/>
    <w:rsid w:val="EF7F695E"/>
    <w:rsid w:val="EFF7DB37"/>
    <w:rsid w:val="F1742FD4"/>
    <w:rsid w:val="F3468548"/>
    <w:rsid w:val="F3C7A179"/>
    <w:rsid w:val="F5EB0257"/>
    <w:rsid w:val="F67B0755"/>
    <w:rsid w:val="F7FB885E"/>
    <w:rsid w:val="FA8F6E12"/>
    <w:rsid w:val="FADF4320"/>
    <w:rsid w:val="FB9727A5"/>
    <w:rsid w:val="FBA7DD6E"/>
    <w:rsid w:val="FBDF4772"/>
    <w:rsid w:val="FBFE9336"/>
    <w:rsid w:val="FEF5E97B"/>
    <w:rsid w:val="FFEDC391"/>
    <w:rsid w:val="FFF1B83B"/>
    <w:rsid w:val="FFF5E4BD"/>
    <w:rsid w:val="FFFBBEFB"/>
    <w:rsid w:val="FFFF5283"/>
    <w:rsid w:val="FFFF75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tLeast"/>
      <w:outlineLvl w:val="3"/>
    </w:pPr>
    <w:rPr>
      <w:rFonts w:ascii="Cambria" w:hAnsi="Cambria" w:cs="宋体"/>
      <w:b/>
      <w:bCs/>
      <w:sz w:val="28"/>
      <w:szCs w:val="28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qFormat/>
    <w:uiPriority w:val="0"/>
    <w:pPr>
      <w:widowControl w:val="0"/>
      <w:spacing w:after="120"/>
      <w:ind w:left="1440" w:leftChars="700" w:right="1440" w:rightChars="7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caption"/>
    <w:basedOn w:val="1"/>
    <w:next w:val="1"/>
    <w:qFormat/>
    <w:uiPriority w:val="0"/>
    <w:rPr>
      <w:rFonts w:ascii="Calibri Light" w:hAnsi="Calibri Light" w:eastAsia="黑体"/>
      <w:sz w:val="20"/>
      <w:szCs w:val="20"/>
    </w:rPr>
  </w:style>
  <w:style w:type="paragraph" w:styleId="7">
    <w:name w:val="Body Text"/>
    <w:basedOn w:val="1"/>
    <w:next w:val="1"/>
    <w:qFormat/>
    <w:uiPriority w:val="0"/>
    <w:pPr>
      <w:jc w:val="center"/>
    </w:pPr>
    <w:rPr>
      <w:sz w:val="24"/>
      <w:szCs w:val="20"/>
    </w:rPr>
  </w:style>
  <w:style w:type="paragraph" w:styleId="8">
    <w:name w:val="Plain Text"/>
    <w:basedOn w:val="1"/>
    <w:unhideWhenUsed/>
    <w:qFormat/>
    <w:uiPriority w:val="99"/>
    <w:rPr>
      <w:rFonts w:ascii="宋体" w:hAnsi="Courier New"/>
      <w:szCs w:val="21"/>
    </w:rPr>
  </w:style>
  <w:style w:type="paragraph" w:styleId="9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qFormat/>
    <w:uiPriority w:val="0"/>
  </w:style>
  <w:style w:type="character" w:styleId="19">
    <w:name w:val="Emphasis"/>
    <w:qFormat/>
    <w:uiPriority w:val="0"/>
    <w:rPr>
      <w:i/>
    </w:rPr>
  </w:style>
  <w:style w:type="character" w:styleId="20">
    <w:name w:val="Hyperlink"/>
    <w:unhideWhenUsed/>
    <w:qFormat/>
    <w:uiPriority w:val="99"/>
    <w:rPr>
      <w:color w:val="0000FF"/>
      <w:u w:val="single"/>
    </w:rPr>
  </w:style>
  <w:style w:type="character" w:styleId="21">
    <w:name w:val="annotation reference"/>
    <w:qFormat/>
    <w:uiPriority w:val="0"/>
    <w:rPr>
      <w:sz w:val="21"/>
      <w:szCs w:val="21"/>
    </w:rPr>
  </w:style>
  <w:style w:type="character" w:customStyle="1" w:styleId="22">
    <w:name w:val="标题 1 Char"/>
    <w:link w:val="3"/>
    <w:qFormat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23">
    <w:name w:val="页脚 Char"/>
    <w:link w:val="11"/>
    <w:qFormat/>
    <w:uiPriority w:val="99"/>
    <w:rPr>
      <w:kern w:val="2"/>
      <w:sz w:val="18"/>
      <w:szCs w:val="18"/>
    </w:rPr>
  </w:style>
  <w:style w:type="paragraph" w:customStyle="1" w:styleId="24">
    <w:name w:val="Char1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5">
    <w:name w:val="表格内容"/>
    <w:basedOn w:val="1"/>
    <w:qFormat/>
    <w:uiPriority w:val="0"/>
    <w:pPr>
      <w:suppressLineNumbers/>
      <w:suppressAutoHyphens/>
    </w:pPr>
    <w:rPr>
      <w:rFonts w:hint="eastAsia"/>
      <w:kern w:val="1"/>
      <w:szCs w:val="20"/>
    </w:rPr>
  </w:style>
  <w:style w:type="paragraph" w:customStyle="1" w:styleId="26">
    <w:name w:val="文章"/>
    <w:basedOn w:val="1"/>
    <w:qFormat/>
    <w:uiPriority w:val="0"/>
    <w:pPr>
      <w:spacing w:beforeLines="50" w:line="360" w:lineRule="auto"/>
      <w:ind w:firstLine="480" w:firstLineChars="200"/>
    </w:pPr>
    <w:rPr>
      <w:rFonts w:hint="eastAsia" w:ascii="Calibri" w:hAnsi="Calibri"/>
      <w:kern w:val="1"/>
      <w:sz w:val="24"/>
    </w:rPr>
  </w:style>
  <w:style w:type="paragraph" w:customStyle="1" w:styleId="27">
    <w:name w:val="无间隔1"/>
    <w:basedOn w:val="1"/>
    <w:qFormat/>
    <w:uiPriority w:val="0"/>
    <w:pPr>
      <w:widowControl/>
      <w:jc w:val="left"/>
    </w:pPr>
    <w:rPr>
      <w:rFonts w:ascii="Calibri" w:hAnsi="Calibri"/>
      <w:kern w:val="0"/>
      <w:sz w:val="24"/>
      <w:szCs w:val="32"/>
      <w:lang w:eastAsia="en-US"/>
    </w:rPr>
  </w:style>
  <w:style w:type="paragraph" w:customStyle="1" w:styleId="28">
    <w:name w:val="正文1"/>
    <w:basedOn w:val="1"/>
    <w:qFormat/>
    <w:uiPriority w:val="99"/>
    <w:pPr>
      <w:ind w:firstLine="1696" w:firstLineChars="200"/>
    </w:pPr>
    <w:rPr>
      <w:rFonts w:ascii="Calibri" w:hAnsi="Calibri"/>
      <w:szCs w:val="22"/>
    </w:rPr>
  </w:style>
  <w:style w:type="paragraph" w:customStyle="1" w:styleId="29">
    <w:name w:val="主体文字"/>
    <w:basedOn w:val="1"/>
    <w:qFormat/>
    <w:uiPriority w:val="0"/>
    <w:pPr>
      <w:spacing w:line="560" w:lineRule="exact"/>
      <w:ind w:firstLine="200" w:firstLineChars="200"/>
    </w:pPr>
    <w:rPr>
      <w:rFonts w:ascii="仿宋" w:hAnsi="仿宋" w:eastAsia="仿宋"/>
      <w:sz w:val="32"/>
      <w:szCs w:val="32"/>
    </w:rPr>
  </w:style>
  <w:style w:type="paragraph" w:customStyle="1" w:styleId="30">
    <w:name w:val="注释说明"/>
    <w:basedOn w:val="1"/>
    <w:qFormat/>
    <w:uiPriority w:val="0"/>
    <w:pPr>
      <w:widowControl/>
      <w:spacing w:before="240" w:after="240"/>
      <w:ind w:firstLine="200" w:firstLineChars="200"/>
      <w:jc w:val="left"/>
    </w:pPr>
    <w:rPr>
      <w:rFonts w:ascii="仿宋_GB2312" w:hAnsi="宋体" w:eastAsia="华文楷体" w:cs="宋体"/>
      <w:kern w:val="0"/>
      <w:sz w:val="28"/>
      <w:szCs w:val="32"/>
    </w:r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32">
    <w:name w:val="BodyText"/>
    <w:basedOn w:val="1"/>
    <w:next w:val="33"/>
    <w:qFormat/>
    <w:uiPriority w:val="0"/>
    <w:pPr>
      <w:spacing w:after="12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33">
    <w:name w:val="UserStyle_0"/>
    <w:next w:val="1"/>
    <w:qFormat/>
    <w:uiPriority w:val="0"/>
    <w:pPr>
      <w:widowControl/>
      <w:jc w:val="both"/>
      <w:textAlignment w:val="baseline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34">
    <w:name w:val="条"/>
    <w:basedOn w:val="5"/>
    <w:next w:val="1"/>
    <w:qFormat/>
    <w:uiPriority w:val="0"/>
    <w:pPr>
      <w:tabs>
        <w:tab w:val="left" w:pos="567"/>
      </w:tabs>
      <w:adjustRightInd w:val="0"/>
      <w:spacing w:before="0" w:after="0" w:line="360" w:lineRule="auto"/>
      <w:outlineLvl w:val="2"/>
    </w:pPr>
    <w:rPr>
      <w:rFonts w:ascii="Arial" w:hAnsi="Arial"/>
      <w:b w:val="0"/>
      <w:color w:val="00000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24</Words>
  <Characters>139</Characters>
  <Lines>1</Lines>
  <Paragraphs>1</Paragraphs>
  <TotalTime>8</TotalTime>
  <ScaleCrop>false</ScaleCrop>
  <LinksUpToDate>false</LinksUpToDate>
  <CharactersWithSpaces>162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2021-02-12T07:06:00Z</dcterms:created>
  <dc:creator>陈凤霞</dc:creator>
  <cp:lastModifiedBy>王合叶</cp:lastModifiedBy>
  <cp:lastPrinted>2024-06-14T03:42:00Z</cp:lastPrinted>
  <dcterms:modified xsi:type="dcterms:W3CDTF">2024-06-14T14:20:26Z</dcterms:modified>
  <dc:title>北京市建设委员会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E6880A7CA4FF4236F0758A65BA53B085</vt:lpwstr>
  </property>
</Properties>
</file>