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佛山市市政基础设施工程智能建造水平评价指引</w:t>
      </w:r>
    </w:p>
    <w:p>
      <w:pPr>
        <w:spacing w:line="560" w:lineRule="exact"/>
        <w:jc w:val="center"/>
        <w:rPr>
          <w:rFonts w:ascii="黑体" w:hAnsi="黑体" w:eastAsia="黑体" w:cs="方正小标宋简体"/>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征求意见稿</w:t>
      </w:r>
      <w:r>
        <w:rPr>
          <w:rFonts w:hint="eastAsia" w:ascii="楷体_GB2312" w:hAnsi="楷体_GB2312" w:eastAsia="楷体_GB2312" w:cs="楷体_GB2312"/>
          <w:b/>
          <w:sz w:val="32"/>
          <w:szCs w:val="32"/>
        </w:rPr>
        <w:t>）</w:t>
      </w:r>
    </w:p>
    <w:p>
      <w:pPr>
        <w:adjustRightInd w:val="0"/>
        <w:snapToGrid w:val="0"/>
        <w:spacing w:line="560" w:lineRule="exact"/>
        <w:ind w:firstLine="628"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textAlignment w:val="auto"/>
        <w:outlineLvl w:val="0"/>
        <w:rPr>
          <w:rFonts w:ascii="黑体" w:hAnsi="黑体" w:eastAsia="黑体" w:cs="黑体"/>
          <w:sz w:val="32"/>
          <w:szCs w:val="32"/>
        </w:rPr>
      </w:pPr>
      <w:r>
        <w:rPr>
          <w:rFonts w:hint="eastAsia" w:ascii="黑体" w:hAnsi="黑体" w:eastAsia="黑体" w:cs="黑体"/>
          <w:sz w:val="32"/>
          <w:szCs w:val="32"/>
        </w:rPr>
        <w:t>一、编制说明</w:t>
      </w:r>
    </w:p>
    <w:p>
      <w:pPr>
        <w:adjustRightInd w:val="0"/>
        <w:snapToGrid w:val="0"/>
        <w:spacing w:line="56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1.指引参照住房和城乡建设部科技与产业化发展中心正在编制的《智能建造项目层面评价指标体系》及广东省住房和城乡建设厅正在编制的《广东省房屋市政工程项目智能建造水平评估指引》进行编制。</w:t>
      </w:r>
    </w:p>
    <w:p>
      <w:pPr>
        <w:adjustRightInd w:val="0"/>
        <w:snapToGrid w:val="0"/>
        <w:spacing w:line="56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价指引分为控制项、评价项和加分项。控制项为开展智能建造项目评选的基本要求;评价项为项目智能建造具体水平的打分项，根据评价结果进行区分;加分项为对积极应用绿色建材、装配化装修及智能化创新应用的项目进行加分。</w:t>
      </w:r>
    </w:p>
    <w:p>
      <w:pPr>
        <w:adjustRightInd w:val="0"/>
        <w:snapToGrid w:val="0"/>
        <w:spacing w:line="56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3.评价指引体系框架如下:</w:t>
      </w:r>
    </w:p>
    <w:p>
      <w:pPr>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353050" cy="3675380"/>
            <wp:effectExtent l="0" t="0" r="11430" b="12700"/>
            <wp:docPr id="4" name="图片 4" descr="佛山市市政基础设施 工程智能建造水平评价指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佛山市市政基础设施 工程智能建造水平评价指引"/>
                    <pic:cNvPicPr>
                      <a:picLocks noChangeAspect="1"/>
                    </pic:cNvPicPr>
                  </pic:nvPicPr>
                  <pic:blipFill>
                    <a:blip r:embed="rId7"/>
                    <a:stretch>
                      <a:fillRect/>
                    </a:stretch>
                  </pic:blipFill>
                  <pic:spPr>
                    <a:xfrm>
                      <a:off x="0" y="0"/>
                      <a:ext cx="5353050" cy="3675380"/>
                    </a:xfrm>
                    <a:prstGeom prst="rect">
                      <a:avLst/>
                    </a:prstGeom>
                  </pic:spPr>
                </pic:pic>
              </a:graphicData>
            </a:graphic>
          </wp:inline>
        </w:drawing>
      </w:r>
    </w:p>
    <w:p>
      <w:pPr>
        <w:adjustRightInd w:val="0"/>
        <w:snapToGrid w:val="0"/>
        <w:spacing w:line="560" w:lineRule="exact"/>
        <w:ind w:firstLine="628" w:firstLineChars="200"/>
        <w:outlineLvl w:val="0"/>
        <w:rPr>
          <w:rFonts w:ascii="黑体" w:hAnsi="黑体" w:eastAsia="黑体" w:cs="黑体"/>
          <w:sz w:val="32"/>
          <w:szCs w:val="32"/>
        </w:rPr>
      </w:pPr>
      <w:r>
        <w:rPr>
          <w:rFonts w:hint="eastAsia" w:ascii="黑体" w:hAnsi="黑体" w:eastAsia="黑体" w:cs="黑体"/>
          <w:sz w:val="32"/>
          <w:szCs w:val="32"/>
        </w:rPr>
        <w:t>二、控制项：</w:t>
      </w:r>
    </w:p>
    <w:p>
      <w:pPr>
        <w:adjustRightInd w:val="0"/>
        <w:snapToGrid w:val="0"/>
        <w:spacing w:line="560" w:lineRule="exact"/>
        <w:ind w:firstLine="628"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单位工程项目投资不小于5000万元，应属市级或以上重点项目</w:t>
      </w:r>
      <w:r>
        <w:rPr>
          <w:rFonts w:hint="eastAsia" w:ascii="仿宋_GB2312" w:hAnsi="仿宋_GB2312" w:eastAsia="仿宋_GB2312" w:cs="仿宋_GB2312"/>
          <w:sz w:val="32"/>
          <w:szCs w:val="32"/>
          <w:lang w:eastAsia="zh-CN"/>
        </w:rPr>
        <w:t>；</w:t>
      </w:r>
    </w:p>
    <w:p>
      <w:pPr>
        <w:adjustRightInd w:val="0"/>
        <w:snapToGrid w:val="0"/>
        <w:spacing w:line="56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在土建、机电、装修、临时工程阶段，在2个以上阶段采用智能化装备施工，且各阶段应用智能装备工序有2个以上;</w:t>
      </w:r>
    </w:p>
    <w:p>
      <w:pPr>
        <w:adjustRightInd w:val="0"/>
        <w:snapToGrid w:val="0"/>
        <w:spacing w:line="56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在设计、生产、建造环节应用智能化技术、软件。</w:t>
      </w:r>
    </w:p>
    <w:p>
      <w:pPr>
        <w:adjustRightInd w:val="0"/>
        <w:snapToGrid w:val="0"/>
        <w:spacing w:line="560" w:lineRule="exact"/>
        <w:ind w:firstLine="628" w:firstLineChars="200"/>
        <w:outlineLvl w:val="0"/>
        <w:rPr>
          <w:rFonts w:ascii="黑体" w:hAnsi="黑体" w:eastAsia="黑体" w:cs="黑体"/>
          <w:sz w:val="32"/>
          <w:szCs w:val="32"/>
        </w:rPr>
      </w:pPr>
      <w:r>
        <w:rPr>
          <w:rFonts w:hint="eastAsia" w:ascii="黑体" w:hAnsi="黑体" w:eastAsia="黑体" w:cs="黑体"/>
          <w:sz w:val="32"/>
          <w:szCs w:val="32"/>
        </w:rPr>
        <w:t>三、评价项：</w:t>
      </w:r>
    </w:p>
    <w:tbl>
      <w:tblPr>
        <w:tblStyle w:val="8"/>
        <w:tblW w:w="51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350"/>
        <w:gridCol w:w="5387"/>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jc w:val="center"/>
        </w:trPr>
        <w:tc>
          <w:tcPr>
            <w:tcW w:w="84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s="黑体"/>
                <w:kern w:val="0"/>
                <w:sz w:val="28"/>
                <w:szCs w:val="28"/>
              </w:rPr>
            </w:pPr>
            <w:r>
              <w:rPr>
                <w:rFonts w:hint="eastAsia" w:ascii="黑体" w:hAnsi="黑体" w:eastAsia="黑体" w:cs="黑体"/>
                <w:kern w:val="0"/>
                <w:sz w:val="28"/>
                <w:szCs w:val="28"/>
              </w:rPr>
              <w:t>一级指标</w:t>
            </w:r>
          </w:p>
        </w:tc>
        <w:tc>
          <w:tcPr>
            <w:tcW w:w="71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s="黑体"/>
                <w:kern w:val="0"/>
                <w:sz w:val="28"/>
                <w:szCs w:val="28"/>
              </w:rPr>
            </w:pPr>
            <w:r>
              <w:rPr>
                <w:rFonts w:hint="eastAsia" w:ascii="黑体" w:hAnsi="黑体" w:eastAsia="黑体" w:cs="黑体"/>
                <w:kern w:val="0"/>
                <w:sz w:val="28"/>
                <w:szCs w:val="28"/>
              </w:rPr>
              <w:t>二级指标</w:t>
            </w: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s="黑体"/>
                <w:kern w:val="0"/>
                <w:sz w:val="28"/>
                <w:szCs w:val="28"/>
              </w:rPr>
            </w:pPr>
            <w:r>
              <w:rPr>
                <w:rFonts w:hint="eastAsia" w:ascii="黑体" w:hAnsi="黑体" w:eastAsia="黑体" w:cs="黑体"/>
                <w:kern w:val="0"/>
                <w:sz w:val="28"/>
                <w:szCs w:val="28"/>
              </w:rPr>
              <w:t>指标解释</w:t>
            </w:r>
          </w:p>
        </w:tc>
        <w:tc>
          <w:tcPr>
            <w:tcW w:w="5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s="黑体"/>
                <w:kern w:val="0"/>
                <w:sz w:val="28"/>
                <w:szCs w:val="28"/>
              </w:rPr>
            </w:pPr>
            <w:r>
              <w:rPr>
                <w:rFonts w:hint="eastAsia" w:ascii="黑体" w:hAnsi="黑体" w:eastAsia="黑体" w:cs="黑体"/>
                <w:kern w:val="0"/>
                <w:sz w:val="28"/>
                <w:szCs w:val="28"/>
              </w:rPr>
              <w:t>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42" w:type="pct"/>
            <w:vMerge w:val="restart"/>
            <w:shd w:val="clear" w:color="auto" w:fill="auto"/>
            <w:vAlign w:val="center"/>
          </w:tcPr>
          <w:p>
            <w:pPr>
              <w:spacing w:line="46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数字化设计</w:t>
            </w:r>
          </w:p>
          <w:p>
            <w:pPr>
              <w:spacing w:line="46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（20分）</w:t>
            </w:r>
          </w:p>
        </w:tc>
        <w:tc>
          <w:tcPr>
            <w:tcW w:w="713" w:type="pct"/>
            <w:vMerge w:val="restar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应用软件</w:t>
            </w:r>
          </w:p>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（3分）</w:t>
            </w: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采用国产自主可控的BIM设计软件</w:t>
            </w:r>
          </w:p>
        </w:tc>
        <w:tc>
          <w:tcPr>
            <w:tcW w:w="598" w:type="pct"/>
            <w:shd w:val="clear" w:color="auto" w:fill="auto"/>
            <w:vAlign w:val="center"/>
          </w:tcPr>
          <w:p>
            <w:pPr>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42" w:type="pct"/>
            <w:vMerge w:val="continue"/>
            <w:shd w:val="clear" w:color="auto" w:fill="auto"/>
            <w:vAlign w:val="center"/>
          </w:tcPr>
          <w:p>
            <w:pPr>
              <w:spacing w:line="360" w:lineRule="exact"/>
            </w:pPr>
          </w:p>
        </w:tc>
        <w:tc>
          <w:tcPr>
            <w:tcW w:w="713" w:type="pct"/>
            <w:vMerge w:val="continue"/>
            <w:shd w:val="clear" w:color="auto" w:fill="auto"/>
            <w:vAlign w:val="center"/>
          </w:tcPr>
          <w:p>
            <w:pPr>
              <w:spacing w:line="360" w:lineRule="exact"/>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eastAsiaTheme="minorEastAsia" w:cstheme="minorEastAsia"/>
                <w:spacing w:val="-11"/>
                <w:kern w:val="0"/>
                <w:sz w:val="21"/>
                <w:szCs w:val="21"/>
              </w:rPr>
              <w:t>使用软件进行建模或可视化查询，及数据处理、分析和预测。</w:t>
            </w:r>
          </w:p>
        </w:tc>
        <w:tc>
          <w:tcPr>
            <w:tcW w:w="598" w:type="pct"/>
            <w:shd w:val="clear" w:color="auto" w:fill="auto"/>
            <w:vAlign w:val="center"/>
          </w:tcPr>
          <w:p>
            <w:pPr>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42" w:type="pct"/>
            <w:vMerge w:val="continue"/>
            <w:shd w:val="clear" w:color="auto" w:fill="auto"/>
            <w:vAlign w:val="center"/>
          </w:tcPr>
          <w:p>
            <w:pPr>
              <w:spacing w:line="360" w:lineRule="exact"/>
              <w:rPr>
                <w:rFonts w:ascii="仿宋_GB2312" w:hAnsi="仿宋_GB2312" w:eastAsia="仿宋_GB2312" w:cs="仿宋_GB2312"/>
                <w:kern w:val="0"/>
                <w:sz w:val="24"/>
                <w:szCs w:val="24"/>
              </w:rPr>
            </w:pPr>
          </w:p>
        </w:tc>
        <w:tc>
          <w:tcPr>
            <w:tcW w:w="713" w:type="pct"/>
            <w:vMerge w:val="continue"/>
            <w:shd w:val="clear" w:color="auto" w:fill="auto"/>
            <w:vAlign w:val="center"/>
          </w:tcPr>
          <w:p>
            <w:pPr>
              <w:spacing w:line="360" w:lineRule="exact"/>
              <w:rPr>
                <w:rFonts w:ascii="仿宋_GB2312" w:hAnsi="仿宋_GB2312" w:eastAsia="仿宋_GB2312" w:cs="仿宋_GB2312"/>
                <w:kern w:val="0"/>
                <w:sz w:val="24"/>
                <w:szCs w:val="24"/>
              </w:rPr>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eastAsiaTheme="minorEastAsia" w:cstheme="minorEastAsia"/>
                <w:spacing w:val="-11"/>
                <w:kern w:val="0"/>
                <w:sz w:val="21"/>
                <w:szCs w:val="21"/>
              </w:rPr>
              <w:t>设计过程中采用参数化设计、智能设计效率提升工具和插件。</w:t>
            </w:r>
          </w:p>
        </w:tc>
        <w:tc>
          <w:tcPr>
            <w:tcW w:w="598" w:type="pct"/>
            <w:shd w:val="clear" w:color="auto" w:fill="auto"/>
            <w:vAlign w:val="center"/>
          </w:tcPr>
          <w:p>
            <w:pPr>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42" w:type="pct"/>
            <w:vMerge w:val="continue"/>
            <w:shd w:val="clear" w:color="auto" w:fill="auto"/>
            <w:vAlign w:val="center"/>
          </w:tcPr>
          <w:p>
            <w:pPr>
              <w:spacing w:line="460" w:lineRule="exact"/>
              <w:jc w:val="center"/>
              <w:rPr>
                <w:rFonts w:ascii="仿宋_GB2312" w:hAnsi="仿宋_GB2312" w:eastAsia="仿宋_GB2312" w:cs="仿宋_GB2312"/>
                <w:b/>
                <w:bCs/>
                <w:kern w:val="0"/>
                <w:sz w:val="28"/>
                <w:szCs w:val="28"/>
              </w:rPr>
            </w:pPr>
          </w:p>
        </w:tc>
        <w:tc>
          <w:tcPr>
            <w:tcW w:w="713" w:type="pct"/>
            <w:vMerge w:val="restar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辅助设计</w:t>
            </w:r>
          </w:p>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（3分）</w:t>
            </w: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基于BIM模型完成专业间综合分析、管线优化、净距分析、智能化装配式拆分深化等工作，形成相关报告。</w:t>
            </w:r>
          </w:p>
        </w:tc>
        <w:tc>
          <w:tcPr>
            <w:tcW w:w="598" w:type="pct"/>
            <w:shd w:val="clear" w:color="auto" w:fill="auto"/>
            <w:vAlign w:val="center"/>
          </w:tcPr>
          <w:p>
            <w:pPr>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42" w:type="pct"/>
            <w:vMerge w:val="continue"/>
            <w:shd w:val="clear" w:color="auto" w:fill="auto"/>
            <w:vAlign w:val="center"/>
          </w:tcPr>
          <w:p>
            <w:pPr>
              <w:spacing w:line="360" w:lineRule="exact"/>
            </w:pPr>
          </w:p>
        </w:tc>
        <w:tc>
          <w:tcPr>
            <w:tcW w:w="713" w:type="pct"/>
            <w:vMerge w:val="continue"/>
            <w:shd w:val="clear" w:color="auto" w:fill="auto"/>
            <w:vAlign w:val="center"/>
          </w:tcPr>
          <w:p>
            <w:pPr>
              <w:spacing w:line="360" w:lineRule="exact"/>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设计阶段BIM模型可辅助概算、预算清单量的提取，实现设计算量一体化应用。</w:t>
            </w:r>
          </w:p>
        </w:tc>
        <w:tc>
          <w:tcPr>
            <w:tcW w:w="598" w:type="pct"/>
            <w:shd w:val="clear" w:color="auto" w:fill="auto"/>
            <w:vAlign w:val="center"/>
          </w:tcPr>
          <w:p>
            <w:pPr>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42" w:type="pct"/>
            <w:vMerge w:val="continue"/>
            <w:shd w:val="clear" w:color="auto" w:fill="auto"/>
            <w:vAlign w:val="center"/>
          </w:tcPr>
          <w:p>
            <w:pPr>
              <w:spacing w:line="360" w:lineRule="exact"/>
              <w:rPr>
                <w:rFonts w:ascii="仿宋_GB2312" w:hAnsi="仿宋_GB2312" w:eastAsia="仿宋_GB2312" w:cs="仿宋_GB2312"/>
                <w:kern w:val="0"/>
                <w:sz w:val="24"/>
                <w:szCs w:val="24"/>
              </w:rPr>
            </w:pPr>
          </w:p>
        </w:tc>
        <w:tc>
          <w:tcPr>
            <w:tcW w:w="713" w:type="pct"/>
            <w:vMerge w:val="continue"/>
            <w:shd w:val="clear" w:color="auto" w:fill="auto"/>
            <w:vAlign w:val="center"/>
          </w:tcPr>
          <w:p>
            <w:pPr>
              <w:spacing w:line="360" w:lineRule="exact"/>
              <w:rPr>
                <w:rFonts w:ascii="仿宋_GB2312" w:hAnsi="仿宋_GB2312" w:eastAsia="仿宋_GB2312" w:cs="仿宋_GB2312"/>
                <w:kern w:val="0"/>
                <w:sz w:val="24"/>
                <w:szCs w:val="24"/>
              </w:rPr>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设计阶段通过BIM模型，进行可视化漫游或VR沉浸式查看。采用AI 技术辅助设计。</w:t>
            </w:r>
          </w:p>
        </w:tc>
        <w:tc>
          <w:tcPr>
            <w:tcW w:w="598" w:type="pct"/>
            <w:shd w:val="clear" w:color="auto" w:fill="auto"/>
            <w:vAlign w:val="center"/>
          </w:tcPr>
          <w:p>
            <w:pPr>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42" w:type="pct"/>
            <w:vMerge w:val="continue"/>
            <w:shd w:val="clear" w:color="auto" w:fill="auto"/>
            <w:vAlign w:val="center"/>
          </w:tcPr>
          <w:p>
            <w:pPr>
              <w:spacing w:line="460" w:lineRule="exact"/>
              <w:jc w:val="center"/>
              <w:rPr>
                <w:rFonts w:ascii="仿宋_GB2312" w:hAnsi="仿宋_GB2312" w:eastAsia="仿宋_GB2312" w:cs="仿宋_GB2312"/>
                <w:b/>
                <w:bCs/>
                <w:kern w:val="0"/>
                <w:sz w:val="28"/>
                <w:szCs w:val="28"/>
              </w:rPr>
            </w:pPr>
          </w:p>
        </w:tc>
        <w:tc>
          <w:tcPr>
            <w:tcW w:w="713" w:type="pct"/>
            <w:vMerge w:val="restar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一体化设计（10分）</w:t>
            </w: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eastAsiaTheme="minorEastAsia" w:cstheme="minorEastAsia"/>
                <w:spacing w:val="-6"/>
                <w:kern w:val="0"/>
                <w:sz w:val="21"/>
                <w:szCs w:val="21"/>
              </w:rPr>
              <w:t>(1)桥梁、隧道、管廊、轨道交通和道路工程等主要专业实现一体化协同设计，并可用于指导后续生产施工，得1.5分。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(2)建筑、结构、机电、装修实现一体化集成设计提供多专业综合图，指导后续生产施工，得1.5分</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42" w:type="pct"/>
            <w:vMerge w:val="continue"/>
            <w:shd w:val="clear" w:color="auto" w:fill="auto"/>
            <w:vAlign w:val="center"/>
          </w:tcPr>
          <w:p>
            <w:pPr>
              <w:spacing w:line="360" w:lineRule="exact"/>
            </w:pPr>
          </w:p>
        </w:tc>
        <w:tc>
          <w:tcPr>
            <w:tcW w:w="713" w:type="pct"/>
            <w:vMerge w:val="continue"/>
            <w:shd w:val="clear" w:color="auto" w:fill="auto"/>
            <w:vAlign w:val="center"/>
          </w:tcPr>
          <w:p>
            <w:pPr>
              <w:spacing w:line="360" w:lineRule="exact"/>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eastAsiaTheme="minorEastAsia" w:cstheme="minorEastAsia"/>
                <w:spacing w:val="0"/>
                <w:kern w:val="0"/>
                <w:sz w:val="21"/>
                <w:szCs w:val="21"/>
              </w:rPr>
            </w:pPr>
            <w:r>
              <w:rPr>
                <w:rFonts w:hint="eastAsia" w:asciiTheme="minorEastAsia" w:hAnsiTheme="minorEastAsia" w:eastAsiaTheme="minorEastAsia" w:cstheme="minorEastAsia"/>
                <w:spacing w:val="0"/>
                <w:kern w:val="0"/>
                <w:sz w:val="21"/>
                <w:szCs w:val="21"/>
              </w:rPr>
              <w:t>采用全专业BIM设计出图，实现全过程三维数字化设计。</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spacing w:val="0"/>
                <w:kern w:val="0"/>
                <w:sz w:val="21"/>
                <w:szCs w:val="21"/>
                <w:lang w:eastAsia="zh-CN"/>
              </w:rPr>
            </w:pPr>
            <w:r>
              <w:rPr>
                <w:rFonts w:hint="eastAsia" w:asciiTheme="minorEastAsia" w:hAnsiTheme="minorEastAsia" w:eastAsiaTheme="minorEastAsia" w:cstheme="minorEastAsia"/>
                <w:spacing w:val="0"/>
                <w:kern w:val="0"/>
                <w:sz w:val="21"/>
                <w:szCs w:val="21"/>
              </w:rPr>
              <w:t>(1)初步设计阶段模型精度达到LOD200以上，得2分</w:t>
            </w:r>
            <w:r>
              <w:rPr>
                <w:rFonts w:hint="eastAsia" w:asciiTheme="minorEastAsia" w:hAnsiTheme="minorEastAsia" w:eastAsiaTheme="minorEastAsia" w:cstheme="minorEastAsia"/>
                <w:spacing w:val="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sz w:val="21"/>
                <w:szCs w:val="21"/>
              </w:rPr>
            </w:pPr>
            <w:r>
              <w:rPr>
                <w:rFonts w:hint="eastAsia" w:asciiTheme="minorEastAsia" w:hAnsiTheme="minorEastAsia" w:cstheme="minorEastAsia"/>
                <w:kern w:val="0"/>
                <w:sz w:val="21"/>
                <w:szCs w:val="21"/>
              </w:rPr>
              <w:t>(2)施工图设计阶段/二次深化设计阶段且模型精度达到LOD300以上，得2分。</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2" w:type="pct"/>
            <w:vMerge w:val="continue"/>
            <w:shd w:val="clear" w:color="auto" w:fill="auto"/>
            <w:vAlign w:val="center"/>
          </w:tcPr>
          <w:p>
            <w:pPr>
              <w:spacing w:line="360" w:lineRule="exact"/>
              <w:jc w:val="center"/>
            </w:pPr>
          </w:p>
        </w:tc>
        <w:tc>
          <w:tcPr>
            <w:tcW w:w="713" w:type="pct"/>
            <w:vMerge w:val="continue"/>
            <w:shd w:val="clear" w:color="auto" w:fill="auto"/>
            <w:vAlign w:val="center"/>
          </w:tcPr>
          <w:p>
            <w:pPr>
              <w:spacing w:line="360" w:lineRule="exact"/>
              <w:jc w:val="center"/>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b/>
                <w:bCs/>
                <w:kern w:val="0"/>
                <w:sz w:val="21"/>
                <w:szCs w:val="21"/>
              </w:rPr>
              <w:t>数字化提效及校审:</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eastAsiaTheme="minorEastAsia" w:cstheme="minorEastAsia"/>
                <w:spacing w:val="-11"/>
                <w:kern w:val="0"/>
                <w:sz w:val="21"/>
                <w:szCs w:val="21"/>
              </w:rPr>
              <w:t>(1)设计过程采用参数化设计、智能设计提效工具或插件，得1分;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(2)基于BIM模型进行建筑性能分析、专业交圈管线优化等工作，输出报告，得1分。</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42" w:type="pct"/>
            <w:vMerge w:val="continue"/>
            <w:shd w:val="clear" w:color="auto" w:fill="auto"/>
            <w:vAlign w:val="center"/>
          </w:tcPr>
          <w:p>
            <w:pPr>
              <w:spacing w:line="360" w:lineRule="exact"/>
              <w:jc w:val="center"/>
              <w:rPr>
                <w:rFonts w:asciiTheme="minorEastAsia" w:hAnsiTheme="minorEastAsia" w:cstheme="minorEastAsia"/>
                <w:kern w:val="0"/>
                <w:sz w:val="24"/>
                <w:szCs w:val="24"/>
              </w:rPr>
            </w:pPr>
          </w:p>
        </w:tc>
        <w:tc>
          <w:tcPr>
            <w:tcW w:w="713" w:type="pct"/>
            <w:vMerge w:val="continue"/>
            <w:shd w:val="clear" w:color="auto" w:fill="auto"/>
            <w:vAlign w:val="center"/>
          </w:tcPr>
          <w:p>
            <w:pPr>
              <w:spacing w:line="360" w:lineRule="exact"/>
              <w:jc w:val="center"/>
              <w:rPr>
                <w:rFonts w:asciiTheme="minorEastAsia" w:hAnsiTheme="minorEastAsia" w:cstheme="minorEastAsia"/>
                <w:kern w:val="0"/>
                <w:sz w:val="24"/>
                <w:szCs w:val="24"/>
              </w:rPr>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b/>
                <w:bCs/>
                <w:kern w:val="0"/>
                <w:sz w:val="21"/>
                <w:szCs w:val="21"/>
              </w:rPr>
              <w:t>自动图审:</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采用AI自动化审查平台或插件，对设计成果进行设计规范、国家地方标准、企业标准等方面智能内部校审，且可提供过程资料予以作证。</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42" w:type="pct"/>
            <w:vMerge w:val="continue"/>
            <w:shd w:val="clear" w:color="auto" w:fill="auto"/>
            <w:vAlign w:val="center"/>
          </w:tcPr>
          <w:p>
            <w:pPr>
              <w:spacing w:line="460" w:lineRule="exact"/>
              <w:jc w:val="center"/>
              <w:rPr>
                <w:rFonts w:ascii="仿宋_GB2312" w:hAnsi="仿宋_GB2312" w:eastAsia="仿宋_GB2312" w:cs="仿宋_GB2312"/>
                <w:b/>
                <w:bCs/>
                <w:kern w:val="0"/>
                <w:sz w:val="28"/>
                <w:szCs w:val="28"/>
              </w:rPr>
            </w:pPr>
          </w:p>
        </w:tc>
        <w:tc>
          <w:tcPr>
            <w:tcW w:w="713" w:type="pct"/>
            <w:vMerge w:val="restar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数字化交付（4分）</w:t>
            </w: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建立完整的施工BIM应用管理文件,管理过程线上化留痕，形成数据资产，支持数字化竣工验收及存档。</w:t>
            </w:r>
          </w:p>
        </w:tc>
        <w:tc>
          <w:tcPr>
            <w:tcW w:w="598" w:type="pct"/>
            <w:shd w:val="clear" w:color="auto" w:fill="auto"/>
            <w:vAlign w:val="center"/>
          </w:tcPr>
          <w:p>
            <w:pPr>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42" w:type="pct"/>
            <w:vMerge w:val="continue"/>
            <w:shd w:val="clear" w:color="auto" w:fill="auto"/>
            <w:vAlign w:val="center"/>
          </w:tcPr>
          <w:p>
            <w:pPr>
              <w:spacing w:line="360" w:lineRule="exact"/>
            </w:pPr>
          </w:p>
        </w:tc>
        <w:tc>
          <w:tcPr>
            <w:tcW w:w="713" w:type="pct"/>
            <w:vMerge w:val="continue"/>
            <w:shd w:val="clear" w:color="auto" w:fill="auto"/>
            <w:vAlign w:val="center"/>
          </w:tcPr>
          <w:p>
            <w:pPr>
              <w:spacing w:line="360" w:lineRule="exact"/>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数字化交付平台具备智能搜索功能，能通过关键字业务标签、基础编码等对软件平台中所有的业务数据、用户、资料、图纸、模型、图像进行关联检索实现设计、施工、运维数字化传递以及模型的相容转换。</w:t>
            </w:r>
          </w:p>
        </w:tc>
        <w:tc>
          <w:tcPr>
            <w:tcW w:w="598" w:type="pct"/>
            <w:shd w:val="clear" w:color="auto" w:fill="auto"/>
            <w:vAlign w:val="center"/>
          </w:tcPr>
          <w:p>
            <w:pPr>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42" w:type="pct"/>
            <w:vMerge w:val="restart"/>
            <w:shd w:val="clear" w:color="auto" w:fill="auto"/>
            <w:vAlign w:val="center"/>
          </w:tcPr>
          <w:p>
            <w:pPr>
              <w:spacing w:line="46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智能化生产（15分）</w:t>
            </w:r>
          </w:p>
        </w:tc>
        <w:tc>
          <w:tcPr>
            <w:tcW w:w="713"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项目管理</w:t>
            </w:r>
          </w:p>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（4分）</w:t>
            </w: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项目应采购智能生产企业提供的部品部件及材料。</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(符合智能生产企业应包括下述能力:智能生产企业应采用智能质检设备对部品部件自动测量，通过与生产 BIM 模型比对，自动生成质检结果;采用物流管理系统，支持部品部件的仓储和运输管理;采用智能堆场装备，自动码垛机或自动吊板码垛设备或构件专用自装卸运输车)</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42" w:type="pct"/>
            <w:vMerge w:val="continue"/>
            <w:shd w:val="clear" w:color="auto" w:fill="auto"/>
            <w:vAlign w:val="center"/>
          </w:tcPr>
          <w:p>
            <w:pPr>
              <w:spacing w:line="460" w:lineRule="exact"/>
              <w:jc w:val="center"/>
              <w:rPr>
                <w:rFonts w:ascii="仿宋_GB2312" w:hAnsi="仿宋_GB2312" w:eastAsia="仿宋_GB2312" w:cs="仿宋_GB2312"/>
                <w:b/>
                <w:bCs/>
                <w:kern w:val="0"/>
                <w:sz w:val="28"/>
                <w:szCs w:val="28"/>
              </w:rPr>
            </w:pPr>
          </w:p>
        </w:tc>
        <w:tc>
          <w:tcPr>
            <w:tcW w:w="713"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设备（4分）</w:t>
            </w: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设备系统:构件智造工厂生产设备使用智能化系统进行自动或半自动控制:混凝土搅拌加工设备系统、轨道运输上料系统、自动布料振捣系统、自动拉毛设备、自动养护系统。</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42" w:type="pct"/>
            <w:vMerge w:val="continue"/>
            <w:shd w:val="clear" w:color="auto" w:fill="auto"/>
            <w:vAlign w:val="center"/>
          </w:tcPr>
          <w:p>
            <w:pPr>
              <w:spacing w:line="460" w:lineRule="exact"/>
              <w:jc w:val="center"/>
              <w:rPr>
                <w:rFonts w:ascii="仿宋_GB2312" w:hAnsi="仿宋_GB2312" w:eastAsia="仿宋_GB2312" w:cs="仿宋_GB2312"/>
                <w:b/>
                <w:bCs/>
                <w:kern w:val="0"/>
                <w:sz w:val="28"/>
                <w:szCs w:val="28"/>
              </w:rPr>
            </w:pPr>
          </w:p>
        </w:tc>
        <w:tc>
          <w:tcPr>
            <w:tcW w:w="713" w:type="pct"/>
            <w:vMerge w:val="restar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编码（4分）</w:t>
            </w: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建立部品部件的分类编码体系，基于条形码、二维码、RFID 等标识技术，对部品部件进行编码，编码信息可流通、可共享、可附加；</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42" w:type="pct"/>
            <w:vMerge w:val="continue"/>
            <w:shd w:val="clear" w:color="auto" w:fill="auto"/>
            <w:vAlign w:val="center"/>
          </w:tcPr>
          <w:p>
            <w:pPr>
              <w:spacing w:line="360" w:lineRule="exact"/>
              <w:jc w:val="center"/>
            </w:pPr>
          </w:p>
        </w:tc>
        <w:tc>
          <w:tcPr>
            <w:tcW w:w="713" w:type="pct"/>
            <w:vMerge w:val="continue"/>
            <w:shd w:val="clear" w:color="auto" w:fill="auto"/>
            <w:vAlign w:val="center"/>
          </w:tcPr>
          <w:p>
            <w:pPr>
              <w:spacing w:line="360" w:lineRule="exact"/>
              <w:jc w:val="center"/>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生产执行系统:工厂进行生产全过程管控，从原材料-半成品-成品构件，生产痕迹全过程可追溯，生产计划、生产信息及生产报表可自动生成。</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2" w:type="pct"/>
            <w:vMerge w:val="continue"/>
            <w:shd w:val="clear" w:color="auto" w:fill="auto"/>
            <w:vAlign w:val="center"/>
          </w:tcPr>
          <w:p>
            <w:pPr>
              <w:spacing w:line="460" w:lineRule="exact"/>
              <w:jc w:val="center"/>
              <w:rPr>
                <w:rFonts w:ascii="仿宋_GB2312" w:hAnsi="仿宋_GB2312" w:eastAsia="仿宋_GB2312" w:cs="仿宋_GB2312"/>
                <w:b/>
                <w:bCs/>
                <w:kern w:val="0"/>
                <w:sz w:val="28"/>
                <w:szCs w:val="28"/>
              </w:rPr>
            </w:pPr>
          </w:p>
        </w:tc>
        <w:tc>
          <w:tcPr>
            <w:tcW w:w="713"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交付（3分）</w:t>
            </w: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BIM 模型满足生产、施工精度要求，原则上不低于LOD400；</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如后续现场施工模拟、安装施工、运维环节仅需LOD300，且通过数字化平台同时配合完善BIM模型构件属性信息，可交付LOD300模型。</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42" w:type="pct"/>
            <w:vMerge w:val="restart"/>
            <w:shd w:val="clear" w:color="auto" w:fill="auto"/>
            <w:vAlign w:val="center"/>
          </w:tcPr>
          <w:p>
            <w:pPr>
              <w:spacing w:line="46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智能化装备施工（30分）</w:t>
            </w:r>
          </w:p>
        </w:tc>
        <w:tc>
          <w:tcPr>
            <w:tcW w:w="713" w:type="pct"/>
            <w:vMerge w:val="restar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数字化深化（9分）</w:t>
            </w: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建立地下构筑物模型，并与设计结构模型进行空间分析，制定迁改方案应用倾斜摄影技术建立施工区域内实景模型，完成施工区域施工设施初步规划设计、实际征拆量统计和迁改方案的确定。</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42" w:type="pct"/>
            <w:vMerge w:val="continue"/>
            <w:shd w:val="clear" w:color="auto" w:fill="auto"/>
            <w:vAlign w:val="center"/>
          </w:tcPr>
          <w:p>
            <w:pPr>
              <w:spacing w:line="360" w:lineRule="exact"/>
              <w:jc w:val="center"/>
            </w:pPr>
          </w:p>
        </w:tc>
        <w:tc>
          <w:tcPr>
            <w:tcW w:w="713" w:type="pct"/>
            <w:vMerge w:val="continue"/>
            <w:shd w:val="clear" w:color="auto" w:fill="auto"/>
            <w:vAlign w:val="center"/>
          </w:tcPr>
          <w:p>
            <w:pPr>
              <w:spacing w:line="360" w:lineRule="exact"/>
              <w:jc w:val="center"/>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完成施工临建设计，包括:便道、项目驻地、构件预制场、钢筋加工场、材料堆场、搅拌站、施工围挡等内容中的3项，且模型可指导施工。</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42" w:type="pct"/>
            <w:vMerge w:val="continue"/>
            <w:shd w:val="clear" w:color="auto" w:fill="auto"/>
            <w:vAlign w:val="center"/>
          </w:tcPr>
          <w:p>
            <w:pPr>
              <w:spacing w:line="360" w:lineRule="exact"/>
              <w:jc w:val="center"/>
              <w:rPr>
                <w:rFonts w:asciiTheme="minorEastAsia" w:hAnsiTheme="minorEastAsia" w:cstheme="minorEastAsia"/>
                <w:kern w:val="0"/>
                <w:sz w:val="24"/>
                <w:szCs w:val="24"/>
              </w:rPr>
            </w:pPr>
          </w:p>
        </w:tc>
        <w:tc>
          <w:tcPr>
            <w:tcW w:w="713" w:type="pct"/>
            <w:vMerge w:val="continue"/>
            <w:shd w:val="clear" w:color="auto" w:fill="auto"/>
            <w:vAlign w:val="center"/>
          </w:tcPr>
          <w:p>
            <w:pPr>
              <w:spacing w:line="360" w:lineRule="exact"/>
              <w:jc w:val="center"/>
              <w:rPr>
                <w:rFonts w:asciiTheme="minorEastAsia" w:hAnsiTheme="minorEastAsia" w:cstheme="minorEastAsia"/>
                <w:kern w:val="0"/>
                <w:sz w:val="24"/>
                <w:szCs w:val="24"/>
              </w:rPr>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建立施工措施模型，并完成工艺工序模拟分析，辅助施工方案编制。</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2" w:type="pct"/>
            <w:vMerge w:val="continue"/>
            <w:shd w:val="clear" w:color="auto" w:fill="auto"/>
            <w:vAlign w:val="center"/>
          </w:tcPr>
          <w:p>
            <w:pPr>
              <w:spacing w:line="360" w:lineRule="exact"/>
              <w:jc w:val="center"/>
              <w:rPr>
                <w:rFonts w:asciiTheme="minorEastAsia" w:hAnsiTheme="minorEastAsia" w:cstheme="minorEastAsia"/>
                <w:kern w:val="0"/>
                <w:sz w:val="24"/>
                <w:szCs w:val="24"/>
              </w:rPr>
            </w:pPr>
          </w:p>
        </w:tc>
        <w:tc>
          <w:tcPr>
            <w:tcW w:w="713" w:type="pct"/>
            <w:vMerge w:val="continue"/>
            <w:shd w:val="clear" w:color="auto" w:fill="auto"/>
            <w:vAlign w:val="center"/>
          </w:tcPr>
          <w:p>
            <w:pPr>
              <w:spacing w:line="360" w:lineRule="exact"/>
              <w:jc w:val="center"/>
              <w:rPr>
                <w:rFonts w:asciiTheme="minorEastAsia" w:hAnsiTheme="minorEastAsia" w:cstheme="minorEastAsia"/>
                <w:kern w:val="0"/>
                <w:sz w:val="24"/>
                <w:szCs w:val="24"/>
              </w:rPr>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基于设计模型进行土建、装修及机电施工深化。</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42" w:type="pct"/>
            <w:vMerge w:val="continue"/>
            <w:shd w:val="clear" w:color="auto" w:fill="auto"/>
            <w:vAlign w:val="center"/>
          </w:tcPr>
          <w:p>
            <w:pPr>
              <w:spacing w:line="460" w:lineRule="exact"/>
              <w:jc w:val="center"/>
              <w:rPr>
                <w:rFonts w:ascii="仿宋_GB2312" w:hAnsi="仿宋_GB2312" w:eastAsia="仿宋_GB2312" w:cs="仿宋_GB2312"/>
                <w:b/>
                <w:bCs/>
                <w:kern w:val="0"/>
                <w:sz w:val="28"/>
                <w:szCs w:val="28"/>
              </w:rPr>
            </w:pPr>
          </w:p>
        </w:tc>
        <w:tc>
          <w:tcPr>
            <w:tcW w:w="713" w:type="pct"/>
            <w:vMerge w:val="restar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主体结构工程智能化施工（9分）</w:t>
            </w: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采用可视化、参数化的桩基机械设备两项以上，并对成桩设备安全性、桩架垂直度、泥浆性能、污染物(如废弃泥浆)排放监测等。</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2" w:type="pct"/>
            <w:vMerge w:val="continue"/>
            <w:shd w:val="clear" w:color="auto" w:fill="auto"/>
            <w:vAlign w:val="center"/>
          </w:tcPr>
          <w:p>
            <w:pPr>
              <w:spacing w:line="360" w:lineRule="exact"/>
              <w:jc w:val="center"/>
            </w:pPr>
          </w:p>
        </w:tc>
        <w:tc>
          <w:tcPr>
            <w:tcW w:w="713" w:type="pct"/>
            <w:vMerge w:val="continue"/>
            <w:shd w:val="clear" w:color="auto" w:fill="auto"/>
            <w:vAlign w:val="center"/>
          </w:tcPr>
          <w:p>
            <w:pPr>
              <w:spacing w:line="360" w:lineRule="exact"/>
              <w:jc w:val="center"/>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对基坑、边坡的自适应力、变形和控制力、混凝土温度、地下水位等进行自动化监测。</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2" w:type="pct"/>
            <w:vMerge w:val="continue"/>
            <w:shd w:val="clear" w:color="auto" w:fill="auto"/>
            <w:vAlign w:val="center"/>
          </w:tcPr>
          <w:p>
            <w:pPr>
              <w:spacing w:line="360" w:lineRule="exact"/>
              <w:jc w:val="center"/>
              <w:rPr>
                <w:rFonts w:asciiTheme="minorEastAsia" w:hAnsiTheme="minorEastAsia" w:cstheme="minorEastAsia"/>
                <w:kern w:val="0"/>
                <w:sz w:val="24"/>
                <w:szCs w:val="24"/>
              </w:rPr>
            </w:pPr>
          </w:p>
        </w:tc>
        <w:tc>
          <w:tcPr>
            <w:tcW w:w="713" w:type="pct"/>
            <w:vMerge w:val="continue"/>
            <w:shd w:val="clear" w:color="auto" w:fill="auto"/>
            <w:vAlign w:val="center"/>
          </w:tcPr>
          <w:p>
            <w:pPr>
              <w:spacing w:line="360" w:lineRule="exact"/>
              <w:jc w:val="center"/>
              <w:rPr>
                <w:rFonts w:asciiTheme="minorEastAsia" w:hAnsiTheme="minorEastAsia" w:cstheme="minorEastAsia"/>
                <w:kern w:val="0"/>
                <w:sz w:val="24"/>
                <w:szCs w:val="24"/>
              </w:rPr>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灌注桩钢筋笼、地下连续墙钢筋实现现场智能化加工，水泥搅拌桩、注浆地基处理等实现施工自动控制和记录。</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pct"/>
            <w:vMerge w:val="continue"/>
            <w:shd w:val="clear" w:color="auto" w:fill="auto"/>
            <w:vAlign w:val="center"/>
          </w:tcPr>
          <w:p>
            <w:pPr>
              <w:spacing w:line="360" w:lineRule="exact"/>
              <w:jc w:val="center"/>
              <w:rPr>
                <w:rFonts w:asciiTheme="minorEastAsia" w:hAnsiTheme="minorEastAsia" w:cstheme="minorEastAsia"/>
                <w:kern w:val="0"/>
                <w:sz w:val="24"/>
                <w:szCs w:val="24"/>
              </w:rPr>
            </w:pPr>
          </w:p>
        </w:tc>
        <w:tc>
          <w:tcPr>
            <w:tcW w:w="713" w:type="pct"/>
            <w:vMerge w:val="continue"/>
            <w:shd w:val="clear" w:color="auto" w:fill="auto"/>
            <w:vAlign w:val="center"/>
          </w:tcPr>
          <w:p>
            <w:pPr>
              <w:spacing w:line="360" w:lineRule="exact"/>
              <w:jc w:val="center"/>
              <w:rPr>
                <w:rFonts w:asciiTheme="minorEastAsia" w:hAnsiTheme="minorEastAsia" w:cstheme="minorEastAsia"/>
                <w:kern w:val="0"/>
                <w:sz w:val="24"/>
                <w:szCs w:val="24"/>
              </w:rPr>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基于BIM进行钢结构构件、预制混凝土构件等预制构件的智能加工。</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42" w:type="pct"/>
            <w:vMerge w:val="continue"/>
            <w:shd w:val="clear" w:color="auto" w:fill="auto"/>
            <w:vAlign w:val="center"/>
          </w:tcPr>
          <w:p>
            <w:pPr>
              <w:spacing w:line="360" w:lineRule="exact"/>
              <w:jc w:val="center"/>
            </w:pPr>
          </w:p>
        </w:tc>
        <w:tc>
          <w:tcPr>
            <w:tcW w:w="713" w:type="pct"/>
            <w:vMerge w:val="continue"/>
            <w:shd w:val="clear" w:color="auto" w:fill="auto"/>
            <w:vAlign w:val="center"/>
          </w:tcPr>
          <w:p>
            <w:pPr>
              <w:spacing w:line="360" w:lineRule="exact"/>
              <w:jc w:val="center"/>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采用2项以上智能化装备与建筑机器人辅助施工。</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42" w:type="pct"/>
            <w:vMerge w:val="continue"/>
            <w:shd w:val="clear" w:color="auto" w:fill="auto"/>
            <w:vAlign w:val="center"/>
          </w:tcPr>
          <w:p>
            <w:pPr>
              <w:spacing w:line="460" w:lineRule="exact"/>
              <w:jc w:val="center"/>
              <w:rPr>
                <w:rFonts w:ascii="仿宋_GB2312" w:hAnsi="仿宋_GB2312" w:eastAsia="仿宋_GB2312" w:cs="仿宋_GB2312"/>
                <w:b/>
                <w:bCs/>
                <w:kern w:val="0"/>
                <w:sz w:val="28"/>
                <w:szCs w:val="28"/>
              </w:rPr>
            </w:pPr>
          </w:p>
        </w:tc>
        <w:tc>
          <w:tcPr>
            <w:tcW w:w="713" w:type="pct"/>
            <w:vMerge w:val="restar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装修及机电工程智能化施工（9分）</w:t>
            </w: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运用三维激光扫描技术对土建扫描建模</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2" w:type="pct"/>
            <w:vMerge w:val="continue"/>
            <w:shd w:val="clear" w:color="auto" w:fill="auto"/>
            <w:vAlign w:val="center"/>
          </w:tcPr>
          <w:p>
            <w:pPr>
              <w:spacing w:line="360" w:lineRule="exact"/>
              <w:jc w:val="center"/>
            </w:pPr>
          </w:p>
        </w:tc>
        <w:tc>
          <w:tcPr>
            <w:tcW w:w="713" w:type="pct"/>
            <w:vMerge w:val="continue"/>
            <w:shd w:val="clear" w:color="auto" w:fill="auto"/>
            <w:vAlign w:val="center"/>
          </w:tcPr>
          <w:p>
            <w:pPr>
              <w:spacing w:line="360" w:lineRule="exact"/>
              <w:jc w:val="center"/>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应用 BIM 技术进行模块化设计、综合管线深化设计、碰撞检查、预留预埋。</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42" w:type="pct"/>
            <w:vMerge w:val="continue"/>
            <w:shd w:val="clear" w:color="auto" w:fill="auto"/>
            <w:vAlign w:val="center"/>
          </w:tcPr>
          <w:p>
            <w:pPr>
              <w:spacing w:line="360" w:lineRule="exact"/>
              <w:jc w:val="center"/>
              <w:rPr>
                <w:rFonts w:asciiTheme="minorEastAsia" w:hAnsiTheme="minorEastAsia" w:cstheme="minorEastAsia"/>
                <w:kern w:val="0"/>
                <w:sz w:val="24"/>
                <w:szCs w:val="24"/>
              </w:rPr>
            </w:pPr>
          </w:p>
        </w:tc>
        <w:tc>
          <w:tcPr>
            <w:tcW w:w="713" w:type="pct"/>
            <w:vMerge w:val="continue"/>
            <w:shd w:val="clear" w:color="auto" w:fill="auto"/>
            <w:vAlign w:val="center"/>
          </w:tcPr>
          <w:p>
            <w:pPr>
              <w:spacing w:line="360" w:lineRule="exact"/>
              <w:jc w:val="center"/>
              <w:rPr>
                <w:rFonts w:asciiTheme="minorEastAsia" w:hAnsiTheme="minorEastAsia" w:cstheme="minorEastAsia"/>
                <w:kern w:val="0"/>
                <w:sz w:val="24"/>
                <w:szCs w:val="24"/>
              </w:rPr>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对机电安装方案进行可视化模拟，并进行智慧调试。</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2" w:type="pct"/>
            <w:vMerge w:val="continue"/>
            <w:shd w:val="clear" w:color="auto" w:fill="auto"/>
            <w:vAlign w:val="center"/>
          </w:tcPr>
          <w:p>
            <w:pPr>
              <w:spacing w:line="360" w:lineRule="exact"/>
              <w:jc w:val="center"/>
              <w:rPr>
                <w:rFonts w:asciiTheme="minorEastAsia" w:hAnsiTheme="minorEastAsia" w:cstheme="minorEastAsia"/>
                <w:kern w:val="0"/>
                <w:sz w:val="24"/>
                <w:szCs w:val="24"/>
              </w:rPr>
            </w:pPr>
          </w:p>
        </w:tc>
        <w:tc>
          <w:tcPr>
            <w:tcW w:w="713" w:type="pct"/>
            <w:vMerge w:val="continue"/>
            <w:shd w:val="clear" w:color="auto" w:fill="auto"/>
            <w:vAlign w:val="center"/>
          </w:tcPr>
          <w:p>
            <w:pPr>
              <w:spacing w:line="360" w:lineRule="exact"/>
              <w:jc w:val="center"/>
              <w:rPr>
                <w:rFonts w:asciiTheme="minorEastAsia" w:hAnsiTheme="minorEastAsia" w:cstheme="minorEastAsia"/>
                <w:kern w:val="0"/>
                <w:sz w:val="24"/>
                <w:szCs w:val="24"/>
              </w:rPr>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采用2项以上智能化装备与建筑机器人辅助施工。</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42" w:type="pct"/>
            <w:vMerge w:val="continue"/>
            <w:shd w:val="clear" w:color="auto" w:fill="auto"/>
            <w:vAlign w:val="center"/>
          </w:tcPr>
          <w:p>
            <w:pPr>
              <w:spacing w:line="460" w:lineRule="exact"/>
              <w:jc w:val="center"/>
              <w:rPr>
                <w:rFonts w:ascii="仿宋_GB2312" w:hAnsi="仿宋_GB2312" w:eastAsia="仿宋_GB2312" w:cs="仿宋_GB2312"/>
                <w:b/>
                <w:bCs/>
                <w:kern w:val="0"/>
                <w:sz w:val="28"/>
                <w:szCs w:val="28"/>
              </w:rPr>
            </w:pPr>
          </w:p>
        </w:tc>
        <w:tc>
          <w:tcPr>
            <w:tcW w:w="713" w:type="pct"/>
            <w:vMerge w:val="restar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临时工程智能化施工</w:t>
            </w:r>
          </w:p>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（3分）</w:t>
            </w: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工程项目施工中的土方工程、脚手架工程、模板工程、大型设备及构件安装、垂直运输等施工工艺应用数字化技术进行施工推演。</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42" w:type="pct"/>
            <w:vMerge w:val="continue"/>
            <w:shd w:val="clear" w:color="auto" w:fill="auto"/>
            <w:vAlign w:val="center"/>
          </w:tcPr>
          <w:p>
            <w:pPr>
              <w:spacing w:line="360" w:lineRule="exact"/>
              <w:jc w:val="center"/>
            </w:pPr>
          </w:p>
        </w:tc>
        <w:tc>
          <w:tcPr>
            <w:tcW w:w="713" w:type="pct"/>
            <w:vMerge w:val="continue"/>
            <w:shd w:val="clear" w:color="auto" w:fill="auto"/>
            <w:vAlign w:val="center"/>
          </w:tcPr>
          <w:p>
            <w:pPr>
              <w:spacing w:line="360" w:lineRule="exact"/>
              <w:jc w:val="center"/>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将智能监测和现场安全文明施工设施进行联动，对现场临时工程进行智能化改造，比如样板区智能讲解，安全体验区智能提示，防尘降尘自动喷淋等。</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42" w:type="pct"/>
            <w:vMerge w:val="restart"/>
            <w:shd w:val="clear" w:color="auto" w:fill="auto"/>
            <w:vAlign w:val="center"/>
          </w:tcPr>
          <w:p>
            <w:pPr>
              <w:spacing w:line="46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数字化施工管理（20分）</w:t>
            </w:r>
          </w:p>
        </w:tc>
        <w:tc>
          <w:tcPr>
            <w:tcW w:w="713" w:type="pct"/>
            <w:vMerge w:val="restar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现场管理和作业人员的数字化、智能化管理（4.5分）</w:t>
            </w: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安全生产对关键岗位人员到岗履职情况和安全作业情况实施数字化、智能化管理，采用监控摄像机及 AI技术对危险区域人员入侵、安全装备穿戴、危险及事故动作进行识别和记录。</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42" w:type="pct"/>
            <w:vMerge w:val="continue"/>
            <w:shd w:val="clear" w:color="auto" w:fill="auto"/>
            <w:vAlign w:val="center"/>
          </w:tcPr>
          <w:p>
            <w:pPr>
              <w:spacing w:line="360" w:lineRule="exact"/>
              <w:jc w:val="center"/>
            </w:pPr>
          </w:p>
        </w:tc>
        <w:tc>
          <w:tcPr>
            <w:tcW w:w="713" w:type="pct"/>
            <w:vMerge w:val="continue"/>
            <w:shd w:val="clear" w:color="auto" w:fill="auto"/>
            <w:vAlign w:val="center"/>
          </w:tcPr>
          <w:p>
            <w:pPr>
              <w:spacing w:line="360" w:lineRule="exact"/>
              <w:jc w:val="center"/>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项目管理: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利用智能化管理平台及移动端软件，应用电子工单系统，建设方、施工单位、监理单位各方在任务下发、执行、质检、工作量统计等环节信息共享，自动记录工种、工作量及工作时间。</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842" w:type="pct"/>
            <w:vMerge w:val="continue"/>
            <w:shd w:val="clear" w:color="auto" w:fill="auto"/>
            <w:vAlign w:val="center"/>
          </w:tcPr>
          <w:p>
            <w:pPr>
              <w:spacing w:line="360" w:lineRule="exact"/>
              <w:jc w:val="center"/>
              <w:rPr>
                <w:rFonts w:asciiTheme="minorEastAsia" w:hAnsiTheme="minorEastAsia" w:cstheme="minorEastAsia"/>
                <w:kern w:val="0"/>
                <w:sz w:val="24"/>
                <w:szCs w:val="24"/>
              </w:rPr>
            </w:pPr>
          </w:p>
        </w:tc>
        <w:tc>
          <w:tcPr>
            <w:tcW w:w="713" w:type="pct"/>
            <w:vMerge w:val="continue"/>
            <w:shd w:val="clear" w:color="auto" w:fill="auto"/>
            <w:vAlign w:val="center"/>
          </w:tcPr>
          <w:p>
            <w:pPr>
              <w:spacing w:line="360" w:lineRule="exact"/>
              <w:jc w:val="center"/>
              <w:rPr>
                <w:rFonts w:asciiTheme="minorEastAsia" w:hAnsiTheme="minorEastAsia" w:cstheme="minorEastAsia"/>
                <w:kern w:val="0"/>
                <w:sz w:val="24"/>
                <w:szCs w:val="24"/>
              </w:rPr>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人员管理: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(1)开展对总包单位管理人员的智能化管理，为后续企业对项目的管理提供数据，得0.5分;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(2)对特殊工种技术人员的岗位证书、入场、离场从事、接触职业病健康危害因素人员的健康档案实行信息化管理，得0.5分。</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42" w:type="pct"/>
            <w:vMerge w:val="continue"/>
            <w:shd w:val="clear" w:color="auto" w:fill="auto"/>
            <w:vAlign w:val="center"/>
          </w:tcPr>
          <w:p>
            <w:pPr>
              <w:spacing w:line="460" w:lineRule="exact"/>
              <w:jc w:val="center"/>
              <w:rPr>
                <w:rFonts w:ascii="仿宋_GB2312" w:hAnsi="仿宋_GB2312" w:eastAsia="仿宋_GB2312" w:cs="仿宋_GB2312"/>
                <w:b/>
                <w:bCs/>
                <w:kern w:val="0"/>
                <w:sz w:val="28"/>
                <w:szCs w:val="28"/>
              </w:rPr>
            </w:pPr>
          </w:p>
        </w:tc>
        <w:tc>
          <w:tcPr>
            <w:tcW w:w="713" w:type="pct"/>
            <w:vMerge w:val="restar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施工机械设备的数字化、智能化管理（4分）</w:t>
            </w: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设备数字化:</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施工机械设备采用二维码等身份识别信息进行标识，针对走行式的机械设备，能够定位或识别走行轨迹，并进行记录，得1分。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(2)现场实时数据可通过软件平台自动化推送至机械设备，得1分。</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42" w:type="pct"/>
            <w:vMerge w:val="continue"/>
            <w:shd w:val="clear" w:color="auto" w:fill="auto"/>
            <w:vAlign w:val="center"/>
          </w:tcPr>
          <w:p>
            <w:pPr>
              <w:spacing w:line="360" w:lineRule="exact"/>
              <w:jc w:val="center"/>
            </w:pPr>
          </w:p>
        </w:tc>
        <w:tc>
          <w:tcPr>
            <w:tcW w:w="713" w:type="pct"/>
            <w:vMerge w:val="continue"/>
            <w:shd w:val="clear" w:color="auto" w:fill="auto"/>
            <w:vAlign w:val="center"/>
          </w:tcPr>
          <w:p>
            <w:pPr>
              <w:spacing w:line="360" w:lineRule="exact"/>
              <w:jc w:val="center"/>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设备智能化管理:</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asciiTheme="minorEastAsia" w:hAnsiTheme="minorEastAsia" w:eastAsiaTheme="minorEastAsia" w:cstheme="minorEastAsia"/>
                <w:kern w:val="0"/>
                <w:sz w:val="21"/>
                <w:szCs w:val="21"/>
                <w:lang w:val="en-US" w:eastAsia="zh-CN" w:bidi="ar-SA"/>
              </w:rPr>
              <w:t>(1)</w:t>
            </w:r>
            <w:r>
              <w:rPr>
                <w:rFonts w:hint="eastAsia" w:asciiTheme="minorEastAsia" w:hAnsiTheme="minorEastAsia" w:cstheme="minorEastAsia"/>
                <w:kern w:val="0"/>
                <w:sz w:val="21"/>
                <w:szCs w:val="21"/>
              </w:rPr>
              <w:t>设备选型、安拆过程可远程监控，设备安全运行可智能化监测、预警，得1分;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(2)现场存在多台同种设备时，建立设备群控管理功能，统筹各台设备具体运行时间及工作量，实现高效利用，得1分。</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842" w:type="pct"/>
            <w:vMerge w:val="continue"/>
            <w:shd w:val="clear" w:color="auto" w:fill="auto"/>
            <w:vAlign w:val="center"/>
          </w:tcPr>
          <w:p>
            <w:pPr>
              <w:spacing w:line="460" w:lineRule="exact"/>
              <w:jc w:val="center"/>
              <w:rPr>
                <w:rFonts w:ascii="仿宋_GB2312" w:hAnsi="仿宋_GB2312" w:eastAsia="仿宋_GB2312" w:cs="仿宋_GB2312"/>
                <w:b/>
                <w:bCs/>
                <w:kern w:val="0"/>
                <w:sz w:val="28"/>
                <w:szCs w:val="28"/>
              </w:rPr>
            </w:pPr>
          </w:p>
        </w:tc>
        <w:tc>
          <w:tcPr>
            <w:tcW w:w="713"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物料的数字化、智能化管理（3分）</w:t>
            </w: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物料信息数字化:</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 xml:space="preserve">(1)采用 RFID、二维码等唯一标识技术和管理软件对部品部件类物料实现数字化管理，实现施工现场置物料存平面布放可视化，得1分; </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(2)施工单位与各专业分包单位的施工进度协同施工进度与生产订单协同管理，施工材料全过程信息协同，得 1分；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(3)施工总包工程量自动统计，总分包之间合约及支付的协同管理，得0.5分；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(4)通过数字化平台及业务数据模板,将BIM 模型、各项计划与关键文档、基础数据进行关联，通过知识图谱技术实现标准化的资料档案管理和数字化协同，得 0.5 分。</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842" w:type="pct"/>
            <w:vMerge w:val="continue"/>
            <w:shd w:val="clear" w:color="auto" w:fill="auto"/>
            <w:vAlign w:val="center"/>
          </w:tcPr>
          <w:p>
            <w:pPr>
              <w:spacing w:line="460" w:lineRule="exact"/>
              <w:jc w:val="center"/>
              <w:rPr>
                <w:rFonts w:ascii="仿宋_GB2312" w:hAnsi="仿宋_GB2312" w:eastAsia="仿宋_GB2312" w:cs="仿宋_GB2312"/>
                <w:b/>
                <w:bCs/>
                <w:kern w:val="0"/>
                <w:sz w:val="28"/>
                <w:szCs w:val="28"/>
              </w:rPr>
            </w:pPr>
          </w:p>
        </w:tc>
        <w:tc>
          <w:tcPr>
            <w:tcW w:w="713"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施工现场环境的数字化、智能化管理（3.5分）</w:t>
            </w: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环境智能化:</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(1)使用智能感知设备对现场风、温湿度、PM 值、雨量、噪声等进行智能化监测，得1分;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(2)现场扬尘、噪声值超标、温度、风速超过规定值进行自动报警，得1分;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(3)自动喷淋设备具备与扬尘监测系统联动控制的功能，实现自主降尘和定时控制，且建筑工地四周围挡的喷淋喷头间距不大于 3.5m，得1分;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(4)环境监测管理子系统具备终端APP，通过终端设备实时采集、传输、显示、存储、统计分析、提示或报警功能，得0.5分。</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842" w:type="pct"/>
            <w:vMerge w:val="continue"/>
            <w:shd w:val="clear" w:color="auto" w:fill="auto"/>
            <w:vAlign w:val="center"/>
          </w:tcPr>
          <w:p>
            <w:pPr>
              <w:spacing w:line="460" w:lineRule="exact"/>
              <w:jc w:val="center"/>
              <w:rPr>
                <w:rFonts w:ascii="仿宋_GB2312" w:hAnsi="仿宋_GB2312" w:eastAsia="仿宋_GB2312" w:cs="仿宋_GB2312"/>
                <w:b/>
                <w:bCs/>
                <w:kern w:val="0"/>
                <w:sz w:val="28"/>
                <w:szCs w:val="28"/>
              </w:rPr>
            </w:pPr>
          </w:p>
        </w:tc>
        <w:tc>
          <w:tcPr>
            <w:tcW w:w="713" w:type="pct"/>
            <w:vMerge w:val="restar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施工质量、安全、进度的智能化管理</w:t>
            </w:r>
          </w:p>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（5分）</w:t>
            </w: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b/>
                <w:bCs/>
                <w:kern w:val="0"/>
                <w:sz w:val="21"/>
                <w:szCs w:val="21"/>
              </w:rPr>
              <w:t>质量管控:</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(1)对施工方案、技术交底、过程质量控制、质量验收与评价进行智能化管理，实现对技术质量参数的智能化监控，得1分: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(2)质量验收信息附加或关联到 BIM 模型中，得0.5 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(3)可提供移动端和PC端的项目隐患检查功能，具备隐患发起、整改、复查的闭合管理功能，得0.5分。</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jc w:val="center"/>
        </w:trPr>
        <w:tc>
          <w:tcPr>
            <w:tcW w:w="842" w:type="pct"/>
            <w:vMerge w:val="continue"/>
            <w:shd w:val="clear" w:color="auto" w:fill="auto"/>
            <w:vAlign w:val="center"/>
          </w:tcPr>
          <w:p>
            <w:pPr>
              <w:spacing w:line="360" w:lineRule="exact"/>
              <w:jc w:val="center"/>
            </w:pPr>
          </w:p>
        </w:tc>
        <w:tc>
          <w:tcPr>
            <w:tcW w:w="713" w:type="pct"/>
            <w:vMerge w:val="continue"/>
            <w:shd w:val="clear" w:color="auto" w:fill="auto"/>
            <w:vAlign w:val="center"/>
          </w:tcPr>
          <w:p>
            <w:pPr>
              <w:spacing w:line="360" w:lineRule="exact"/>
              <w:jc w:val="center"/>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安全管控:</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(1)对专项施工方案、安全交底、安全巡检、安全监控(测)、安全资料等进行智能化管理，安装智能安防及报警信息系统，实现现场安全智能化管控，得 0.5 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(2)工地现场应用全景视频监控系统，采集施工过程照片、视频上传至协同管理平台，应用A等技术自动发现安全隐患，并自动报警，并具备远程实时查看、回放、视频摘要、视频轮巡等功能，得0.5分;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(3)隐蔽工程全程留存影像资料，得0.5分；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(4)工地现场采用移动端软件实施现场风险管控和隐患排查，并自动推送至智慧工地平台，得0.5分。</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42" w:type="pct"/>
            <w:vMerge w:val="continue"/>
            <w:shd w:val="clear" w:color="auto" w:fill="auto"/>
            <w:vAlign w:val="center"/>
          </w:tcPr>
          <w:p>
            <w:pPr>
              <w:spacing w:line="360" w:lineRule="exact"/>
              <w:jc w:val="center"/>
            </w:pPr>
          </w:p>
        </w:tc>
        <w:tc>
          <w:tcPr>
            <w:tcW w:w="713" w:type="pct"/>
            <w:vMerge w:val="continue"/>
            <w:shd w:val="clear" w:color="auto" w:fill="auto"/>
            <w:vAlign w:val="center"/>
          </w:tcPr>
          <w:p>
            <w:pPr>
              <w:spacing w:line="360" w:lineRule="exact"/>
              <w:jc w:val="center"/>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进度管控:</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工期任务与 BIM 模型关联，各工序以及关键节点实际开始时间与计划时间自动对比，并进行系统提示。</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842" w:type="pct"/>
            <w:vMerge w:val="restart"/>
            <w:shd w:val="clear" w:color="auto" w:fill="auto"/>
            <w:vAlign w:val="center"/>
          </w:tcPr>
          <w:p>
            <w:pPr>
              <w:spacing w:line="46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智能化协同（10分）</w:t>
            </w:r>
          </w:p>
        </w:tc>
        <w:tc>
          <w:tcPr>
            <w:tcW w:w="713"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设计协同管理(2分)</w:t>
            </w: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(1)设计图纸可以实现全参与方在线协同管理，在线审图，可实现基于BIM的设计变更协同管理和方案优化，得1分；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(2)制定设计交付标准，并按计划交付:交付全专业 BIM 模型及电子版图纸，得1分。</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42" w:type="pct"/>
            <w:vMerge w:val="continue"/>
            <w:shd w:val="clear" w:color="auto" w:fill="auto"/>
            <w:vAlign w:val="center"/>
          </w:tcPr>
          <w:p>
            <w:pPr>
              <w:spacing w:line="460" w:lineRule="exact"/>
              <w:jc w:val="center"/>
              <w:rPr>
                <w:rFonts w:ascii="仿宋_GB2312" w:hAnsi="仿宋_GB2312" w:eastAsia="仿宋_GB2312" w:cs="仿宋_GB2312"/>
                <w:b/>
                <w:bCs/>
                <w:kern w:val="0"/>
                <w:sz w:val="28"/>
                <w:szCs w:val="28"/>
              </w:rPr>
            </w:pPr>
          </w:p>
        </w:tc>
        <w:tc>
          <w:tcPr>
            <w:tcW w:w="713"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生产协同管理(1分)</w:t>
            </w: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可实现多方联动的生产计划协同、物流追踪、质量追溯和交付标准协同。</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842" w:type="pct"/>
            <w:vMerge w:val="continue"/>
            <w:shd w:val="clear" w:color="auto" w:fill="auto"/>
            <w:vAlign w:val="center"/>
          </w:tcPr>
          <w:p>
            <w:pPr>
              <w:spacing w:line="460" w:lineRule="exact"/>
              <w:jc w:val="center"/>
              <w:rPr>
                <w:rFonts w:ascii="仿宋_GB2312" w:hAnsi="仿宋_GB2312" w:eastAsia="仿宋_GB2312" w:cs="仿宋_GB2312"/>
                <w:b/>
                <w:bCs/>
                <w:kern w:val="0"/>
                <w:sz w:val="28"/>
                <w:szCs w:val="28"/>
              </w:rPr>
            </w:pPr>
          </w:p>
        </w:tc>
        <w:tc>
          <w:tcPr>
            <w:tcW w:w="713"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施工协同管理</w:t>
            </w:r>
          </w:p>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(3分)</w:t>
            </w: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(1)施工单位与各专业分包单位的施工进度协同施工进度与生产订单协同管理，施工材料全过程信息协同，得 2 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(2)施工总包工程量自动统计，总分包之间合约及支付的协同管理，得1分。</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842" w:type="pct"/>
            <w:vMerge w:val="continue"/>
            <w:shd w:val="clear" w:color="auto" w:fill="auto"/>
            <w:vAlign w:val="center"/>
          </w:tcPr>
          <w:p>
            <w:pPr>
              <w:spacing w:line="460" w:lineRule="exact"/>
              <w:jc w:val="center"/>
              <w:rPr>
                <w:rFonts w:ascii="仿宋_GB2312" w:hAnsi="仿宋_GB2312" w:eastAsia="仿宋_GB2312" w:cs="仿宋_GB2312"/>
                <w:b/>
                <w:bCs/>
                <w:kern w:val="0"/>
                <w:sz w:val="28"/>
                <w:szCs w:val="28"/>
              </w:rPr>
            </w:pPr>
          </w:p>
        </w:tc>
        <w:tc>
          <w:tcPr>
            <w:tcW w:w="713"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建筑产业互联网</w:t>
            </w:r>
          </w:p>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(4分)</w:t>
            </w:r>
          </w:p>
        </w:tc>
        <w:tc>
          <w:tcPr>
            <w:tcW w:w="2845"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asciiTheme="minorEastAsia" w:hAnsiTheme="minorEastAsia" w:eastAsiaTheme="minorEastAsia" w:cstheme="minorEastAsia"/>
                <w:kern w:val="0"/>
                <w:sz w:val="21"/>
                <w:szCs w:val="21"/>
                <w:lang w:val="en-US" w:eastAsia="zh-CN" w:bidi="ar-SA"/>
              </w:rPr>
              <w:t>(1)</w:t>
            </w:r>
            <w:r>
              <w:rPr>
                <w:rFonts w:hint="eastAsia" w:asciiTheme="minorEastAsia" w:hAnsiTheme="minorEastAsia" w:cstheme="minorEastAsia"/>
                <w:kern w:val="0"/>
                <w:sz w:val="21"/>
                <w:szCs w:val="21"/>
              </w:rPr>
              <w:t>项目全过程关键文档管理使用线上化平台，权限管理适配不同业务角色，版木变更、文件收发可追溯，得1分。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(2)基于业务数据结构化，通过电子表单和数字化平台实现设计、生产、施工各环节间的信息、数据的协同，得 1分。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(3)建造阶段应用项目数字化管理平台，参建各方通过统一平台共享各阶段项目基础数据,包括以BIM技术为主集成的静态数据、项目施工动态数据，结合项目特点形成2~3个典型的数字化管理闭环应用，得1分。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(4)设计、生产、施工各阶段BIM模型及基础数据、业务数据的生产、采集、交互、交付形成项目级的统一标准及可执行方案，得1分。</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42" w:type="pct"/>
            <w:vMerge w:val="restart"/>
            <w:shd w:val="clear" w:color="auto" w:fill="auto"/>
            <w:vAlign w:val="center"/>
          </w:tcPr>
          <w:p>
            <w:pPr>
              <w:spacing w:line="46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施工效益</w:t>
            </w:r>
          </w:p>
          <w:p>
            <w:pPr>
              <w:spacing w:line="46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（5分）</w:t>
            </w:r>
          </w:p>
        </w:tc>
        <w:tc>
          <w:tcPr>
            <w:tcW w:w="713" w:type="pct"/>
            <w:vMerge w:val="restar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经济效益</w:t>
            </w:r>
          </w:p>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（2分）</w:t>
            </w: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通过智能化管理，优化施工工序，提高施工效率，缩短项目施工工期，提升建造效率。各分部工程工期缩短幅度达10%(其中2个分部工程分别达标即可)，得0.5分。</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42" w:type="pct"/>
            <w:vMerge w:val="continue"/>
            <w:shd w:val="clear" w:color="auto" w:fill="auto"/>
            <w:vAlign w:val="center"/>
          </w:tcPr>
          <w:p>
            <w:pPr>
              <w:spacing w:line="360" w:lineRule="exact"/>
              <w:jc w:val="center"/>
            </w:pPr>
          </w:p>
        </w:tc>
        <w:tc>
          <w:tcPr>
            <w:tcW w:w="713" w:type="pct"/>
            <w:vMerge w:val="continue"/>
            <w:shd w:val="clear" w:color="auto" w:fill="auto"/>
            <w:vAlign w:val="center"/>
          </w:tcPr>
          <w:p>
            <w:pPr>
              <w:spacing w:line="360" w:lineRule="exact"/>
              <w:jc w:val="center"/>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减少人员投入: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采用智能施工和智能化人员管理，提高人工效率，减少人员投入，分部工程总用工量较定额减少幅度达10%(其中2个分部工程分别达标即可)，得0.5分。</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42" w:type="pct"/>
            <w:vMerge w:val="continue"/>
            <w:shd w:val="clear" w:color="auto" w:fill="auto"/>
            <w:vAlign w:val="center"/>
          </w:tcPr>
          <w:p>
            <w:pPr>
              <w:spacing w:line="360" w:lineRule="exact"/>
              <w:jc w:val="center"/>
              <w:rPr>
                <w:rFonts w:asciiTheme="minorEastAsia" w:hAnsiTheme="minorEastAsia" w:cstheme="minorEastAsia"/>
                <w:kern w:val="0"/>
                <w:sz w:val="24"/>
                <w:szCs w:val="24"/>
              </w:rPr>
            </w:pPr>
          </w:p>
        </w:tc>
        <w:tc>
          <w:tcPr>
            <w:tcW w:w="713" w:type="pct"/>
            <w:vMerge w:val="continue"/>
            <w:shd w:val="clear" w:color="auto" w:fill="auto"/>
            <w:vAlign w:val="center"/>
          </w:tcPr>
          <w:p>
            <w:pPr>
              <w:spacing w:line="360" w:lineRule="exact"/>
              <w:jc w:val="center"/>
              <w:rPr>
                <w:rFonts w:asciiTheme="minorEastAsia" w:hAnsiTheme="minorEastAsia" w:cstheme="minorEastAsia"/>
                <w:kern w:val="0"/>
                <w:sz w:val="24"/>
                <w:szCs w:val="24"/>
              </w:rPr>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提高设备运行效率:</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采用智能施工和智能化设备管理，提高设备运行效率，降低设备运行台班，分部工程重点耗能设备较定额台班综合减少幅度达10%(其中2个分部工程分别达标即可)，得0.5分。</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42" w:type="pct"/>
            <w:vMerge w:val="continue"/>
            <w:shd w:val="clear" w:color="auto" w:fill="auto"/>
            <w:vAlign w:val="center"/>
          </w:tcPr>
          <w:p>
            <w:pPr>
              <w:spacing w:line="360" w:lineRule="exact"/>
              <w:jc w:val="center"/>
              <w:rPr>
                <w:rFonts w:asciiTheme="minorEastAsia" w:hAnsiTheme="minorEastAsia" w:cstheme="minorEastAsia"/>
                <w:kern w:val="0"/>
                <w:sz w:val="24"/>
                <w:szCs w:val="24"/>
              </w:rPr>
            </w:pPr>
          </w:p>
        </w:tc>
        <w:tc>
          <w:tcPr>
            <w:tcW w:w="713" w:type="pct"/>
            <w:vMerge w:val="continue"/>
            <w:shd w:val="clear" w:color="auto" w:fill="auto"/>
            <w:vAlign w:val="center"/>
          </w:tcPr>
          <w:p>
            <w:pPr>
              <w:spacing w:line="360" w:lineRule="exact"/>
              <w:jc w:val="center"/>
              <w:rPr>
                <w:rFonts w:asciiTheme="minorEastAsia" w:hAnsiTheme="minorEastAsia" w:cstheme="minorEastAsia"/>
                <w:kern w:val="0"/>
                <w:sz w:val="24"/>
                <w:szCs w:val="24"/>
              </w:rPr>
            </w:pP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降低材料损耗:</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采用智能施工和智能化物料管理，提高材料利用率，降低仓储和施工损耗，分部工程主要材料较定额损耗降低幅度达30%(其中2个分部工程分别达标即可)，得 0.5 分。</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jc w:val="center"/>
        </w:trPr>
        <w:tc>
          <w:tcPr>
            <w:tcW w:w="842" w:type="pct"/>
            <w:vMerge w:val="continue"/>
            <w:shd w:val="clear" w:color="auto" w:fill="auto"/>
            <w:vAlign w:val="center"/>
          </w:tcPr>
          <w:p>
            <w:pPr>
              <w:spacing w:line="460" w:lineRule="exact"/>
              <w:jc w:val="center"/>
              <w:rPr>
                <w:rFonts w:ascii="仿宋_GB2312" w:hAnsi="仿宋_GB2312" w:eastAsia="仿宋_GB2312" w:cs="仿宋_GB2312"/>
                <w:b/>
                <w:bCs/>
                <w:kern w:val="0"/>
                <w:sz w:val="28"/>
                <w:szCs w:val="28"/>
              </w:rPr>
            </w:pPr>
          </w:p>
        </w:tc>
        <w:tc>
          <w:tcPr>
            <w:tcW w:w="713"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社会效益</w:t>
            </w:r>
          </w:p>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（3分）</w:t>
            </w:r>
          </w:p>
        </w:tc>
        <w:tc>
          <w:tcPr>
            <w:tcW w:w="2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b/>
                <w:bCs/>
                <w:kern w:val="0"/>
                <w:sz w:val="21"/>
                <w:szCs w:val="21"/>
              </w:rPr>
            </w:pPr>
            <w:r>
              <w:rPr>
                <w:rFonts w:hint="eastAsia" w:asciiTheme="minorEastAsia" w:hAnsiTheme="minorEastAsia" w:cstheme="minorEastAsia"/>
                <w:b/>
                <w:bCs/>
                <w:kern w:val="0"/>
                <w:sz w:val="21"/>
                <w:szCs w:val="21"/>
              </w:rPr>
              <w:t>先进技术应用:</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项目应用获评/入围科技进步奖、科技成果认定和智能建造目录的智能建造技术，按照应用项目数加分总分3分，并按下列规则分别评分并累计</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(1)获国家科技进步奖，加1.5分;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(2)科技成果鉴定达到国际领先水平、获得省科技进步奖的智能化技术/产品，每获一项，加1分；经科技成果鉴定达到国际先进水平、入选省级技术目录，每获一项加0.5分；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heme="minorEastAsia" w:hAnsiTheme="minorEastAsia" w:cstheme="minorEastAsia"/>
                <w:kern w:val="0"/>
                <w:sz w:val="21"/>
                <w:szCs w:val="21"/>
              </w:rPr>
            </w:pPr>
            <w:r>
              <w:rPr>
                <w:rFonts w:hint="eastAsia" w:asciiTheme="minorEastAsia" w:hAnsiTheme="minorEastAsia" w:cstheme="minorEastAsia"/>
                <w:kern w:val="0"/>
                <w:sz w:val="21"/>
                <w:szCs w:val="21"/>
              </w:rPr>
              <w:t>(3)入选市级技术目录，加0.5分。</w:t>
            </w:r>
          </w:p>
        </w:tc>
        <w:tc>
          <w:tcPr>
            <w:tcW w:w="598" w:type="pct"/>
            <w:shd w:val="clear" w:color="auto" w:fill="auto"/>
            <w:vAlign w:val="center"/>
          </w:tcPr>
          <w:p>
            <w:pPr>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p>
        </w:tc>
      </w:tr>
    </w:tbl>
    <w:p>
      <w:pPr>
        <w:adjustRightInd w:val="0"/>
        <w:snapToGrid w:val="0"/>
        <w:spacing w:line="20" w:lineRule="exact"/>
        <w:rPr>
          <w:rFonts w:ascii="仿宋" w:hAnsi="仿宋" w:eastAsia="仿宋"/>
          <w:sz w:val="30"/>
          <w:szCs w:val="30"/>
        </w:rPr>
      </w:pPr>
    </w:p>
    <w:p>
      <w:pPr>
        <w:adjustRightInd w:val="0"/>
        <w:snapToGrid w:val="0"/>
        <w:spacing w:line="20" w:lineRule="exact"/>
        <w:rPr>
          <w:rFonts w:ascii="仿宋" w:hAnsi="仿宋" w:eastAsia="仿宋"/>
          <w:sz w:val="30"/>
          <w:szCs w:val="30"/>
        </w:rPr>
      </w:pPr>
    </w:p>
    <w:p>
      <w:pPr>
        <w:adjustRightInd w:val="0"/>
        <w:snapToGrid w:val="0"/>
        <w:spacing w:line="20" w:lineRule="exact"/>
        <w:rPr>
          <w:rFonts w:ascii="仿宋" w:hAnsi="仿宋" w:eastAsia="仿宋"/>
          <w:sz w:val="30"/>
          <w:szCs w:val="30"/>
        </w:rPr>
      </w:pPr>
    </w:p>
    <w:p>
      <w:pPr>
        <w:adjustRightInd w:val="0"/>
        <w:snapToGrid w:val="0"/>
        <w:spacing w:line="20" w:lineRule="exact"/>
        <w:rPr>
          <w:rFonts w:ascii="仿宋" w:hAnsi="仿宋" w:eastAsia="仿宋"/>
          <w:sz w:val="30"/>
          <w:szCs w:val="30"/>
        </w:rPr>
      </w:pPr>
    </w:p>
    <w:p>
      <w:pPr>
        <w:adjustRightInd w:val="0"/>
        <w:snapToGrid w:val="0"/>
        <w:spacing w:line="20" w:lineRule="exact"/>
        <w:rPr>
          <w:rFonts w:ascii="仿宋" w:hAnsi="仿宋" w:eastAsia="仿宋"/>
          <w:sz w:val="30"/>
          <w:szCs w:val="30"/>
        </w:rPr>
      </w:pPr>
    </w:p>
    <w:p>
      <w:pPr>
        <w:adjustRightInd w:val="0"/>
        <w:snapToGrid w:val="0"/>
        <w:spacing w:line="20" w:lineRule="exact"/>
        <w:rPr>
          <w:rFonts w:ascii="仿宋" w:hAnsi="仿宋" w:eastAsia="仿宋"/>
          <w:sz w:val="30"/>
          <w:szCs w:val="30"/>
        </w:rPr>
      </w:pPr>
    </w:p>
    <w:p>
      <w:pPr>
        <w:adjustRightInd w:val="0"/>
        <w:snapToGrid w:val="0"/>
        <w:spacing w:line="20" w:lineRule="exact"/>
        <w:rPr>
          <w:rFonts w:ascii="仿宋" w:hAnsi="仿宋" w:eastAsia="仿宋"/>
          <w:sz w:val="30"/>
          <w:szCs w:val="30"/>
        </w:rPr>
      </w:pPr>
    </w:p>
    <w:p>
      <w:pPr>
        <w:adjustRightInd w:val="0"/>
        <w:snapToGrid w:val="0"/>
        <w:spacing w:line="20" w:lineRule="exact"/>
        <w:rPr>
          <w:rFonts w:ascii="仿宋" w:hAnsi="仿宋" w:eastAsia="仿宋"/>
          <w:sz w:val="30"/>
          <w:szCs w:val="30"/>
        </w:rPr>
      </w:pPr>
    </w:p>
    <w:p>
      <w:pPr>
        <w:adjustRightInd w:val="0"/>
        <w:snapToGrid w:val="0"/>
        <w:spacing w:line="20" w:lineRule="exact"/>
        <w:rPr>
          <w:rFonts w:ascii="仿宋" w:hAnsi="仿宋" w:eastAsia="仿宋"/>
          <w:sz w:val="30"/>
          <w:szCs w:val="30"/>
        </w:rPr>
      </w:pPr>
    </w:p>
    <w:p>
      <w:pPr>
        <w:adjustRightInd w:val="0"/>
        <w:snapToGrid w:val="0"/>
        <w:spacing w:line="560" w:lineRule="exact"/>
        <w:ind w:firstLine="628" w:firstLineChars="200"/>
        <w:outlineLvl w:val="0"/>
      </w:pPr>
      <w:bookmarkStart w:id="0" w:name="_GoBack"/>
      <w:r>
        <w:rPr>
          <w:rFonts w:hint="eastAsia" w:ascii="黑体" w:hAnsi="黑体" w:eastAsia="黑体" w:cs="黑体"/>
          <w:sz w:val="32"/>
          <w:szCs w:val="32"/>
        </w:rPr>
        <w:t>四、加分项：</w:t>
      </w:r>
    </w:p>
    <w:p>
      <w:pPr>
        <w:adjustRightInd w:val="0"/>
        <w:snapToGrid w:val="0"/>
        <w:spacing w:line="56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项目选用绿色建材符合</w:t>
      </w:r>
      <w:r>
        <w:rPr>
          <w:rFonts w:hint="eastAsia" w:ascii="仿宋_GB2312" w:hAnsi="仿宋_GB2312" w:eastAsia="仿宋_GB2312" w:cs="仿宋_GB2312"/>
          <w:sz w:val="32"/>
          <w:szCs w:val="32"/>
          <w:lang w:eastAsia="zh-CN"/>
        </w:rPr>
        <w:t>市政基础设施工程绿色建材应用相关要求的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3至</w:t>
      </w:r>
      <w:r>
        <w:rPr>
          <w:rFonts w:hint="eastAsia" w:ascii="仿宋_GB2312" w:hAnsi="仿宋_GB2312" w:eastAsia="仿宋_GB2312" w:cs="仿宋_GB2312"/>
          <w:sz w:val="32"/>
          <w:szCs w:val="32"/>
        </w:rPr>
        <w:t>5分</w:t>
      </w:r>
      <w:r>
        <w:rPr>
          <w:rFonts w:hint="eastAsia" w:ascii="仿宋_GB2312" w:hAnsi="仿宋_GB2312" w:eastAsia="仿宋_GB2312" w:cs="仿宋_GB2312"/>
          <w:sz w:val="32"/>
          <w:szCs w:val="32"/>
          <w:lang w:eastAsia="zh-CN"/>
        </w:rPr>
        <w:t>（具体细则另行制定）</w:t>
      </w:r>
      <w:r>
        <w:rPr>
          <w:rFonts w:hint="eastAsia" w:ascii="仿宋_GB2312" w:hAnsi="仿宋_GB2312" w:eastAsia="仿宋_GB2312" w:cs="仿宋_GB2312"/>
          <w:sz w:val="32"/>
          <w:szCs w:val="32"/>
        </w:rPr>
        <w:t>。</w:t>
      </w:r>
    </w:p>
    <w:p>
      <w:pPr>
        <w:adjustRightInd w:val="0"/>
        <w:snapToGrid w:val="0"/>
        <w:spacing w:line="56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项目采用装配化装修符合《佛山市装配化装修评价指引》的要求，评分50分以上的，+5分。</w:t>
      </w:r>
    </w:p>
    <w:p>
      <w:pPr>
        <w:adjustRightInd w:val="0"/>
        <w:snapToGrid w:val="0"/>
        <w:spacing w:line="56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名词解释</w:t>
      </w:r>
    </w:p>
    <w:p>
      <w:pPr>
        <w:adjustRightInd w:val="0"/>
        <w:snapToGrid w:val="0"/>
        <w:spacing w:line="56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筑机器人:此技术主要应用于施工环节。基于机器人、物联网、互联网、人工智能等技术，通过集成控制系统、感知系统、驱动系统和机械系统等，结合工程施工工艺，以“危繁脏重”的施工作业为重点，实现机器代人。建筑机器人具备数据采集、人机协调、自然交互、自主学习等功能。</w:t>
      </w:r>
    </w:p>
    <w:p>
      <w:pPr>
        <w:adjustRightInd w:val="0"/>
        <w:snapToGrid w:val="0"/>
        <w:spacing w:line="56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智能化装备:该技术是传统机械设备与计算机技术、数据处理技术、控制技术、传感器技术、网络通信技术、电力电子技术等技术的融合应用，具有感知、分析、推理、决策和控制功能。该技术能够为施工现场提供良好的作业条件与环境，具有易操作、节人力、高效率等特征，包括智能塔吊、智能施工电梯、智能施工升降机、无人推土机、智能盾构机、智能运输车、智能碾压设备、智能骨料粒径监测设备等。</w:t>
      </w:r>
    </w:p>
    <w:p>
      <w:pPr>
        <w:adjustRightInd w:val="0"/>
        <w:snapToGrid w:val="0"/>
        <w:spacing w:line="560" w:lineRule="exact"/>
        <w:ind w:firstLine="628" w:firstLineChars="200"/>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筑产业互联网:主要指项目全过程关键文档管理使用线上化平台，通过电子表单和数字化平台实现设计、生产、施工各环节间的信息、数据的协同。建造阶段应用项目数字化管理平台，参建名方通过统一平台共享各阶段项目基础数据。</w:t>
      </w:r>
    </w:p>
    <w:bookmarkEnd w:id="0"/>
    <w:sectPr>
      <w:footerReference r:id="rId5" w:type="default"/>
      <w:pgSz w:w="11906" w:h="16838"/>
      <w:pgMar w:top="2154" w:right="1474" w:bottom="1474" w:left="1474" w:header="851" w:footer="992" w:gutter="0"/>
      <w:cols w:space="0" w:num="1"/>
      <w:docGrid w:type="linesAndChars" w:linePitch="600"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C14B8"/>
    <w:multiLevelType w:val="singleLevel"/>
    <w:tmpl w:val="B78C14B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2"/>
  <w:drawingGridVerticalSpacing w:val="300"/>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5YjAzZDkxYzIyYTExOTNlMzIwMmUwYzVhNTJlYWEifQ=="/>
  </w:docVars>
  <w:rsids>
    <w:rsidRoot w:val="00172A27"/>
    <w:rsid w:val="00001DE9"/>
    <w:rsid w:val="00016DE6"/>
    <w:rsid w:val="0004580F"/>
    <w:rsid w:val="0006067D"/>
    <w:rsid w:val="000627F8"/>
    <w:rsid w:val="00065E43"/>
    <w:rsid w:val="000667FF"/>
    <w:rsid w:val="000763C8"/>
    <w:rsid w:val="00080349"/>
    <w:rsid w:val="00096626"/>
    <w:rsid w:val="000A291A"/>
    <w:rsid w:val="000A7D43"/>
    <w:rsid w:val="000B3004"/>
    <w:rsid w:val="000D0FA2"/>
    <w:rsid w:val="000E012D"/>
    <w:rsid w:val="000F1AD1"/>
    <w:rsid w:val="000F4959"/>
    <w:rsid w:val="00100CB9"/>
    <w:rsid w:val="00103061"/>
    <w:rsid w:val="00110F33"/>
    <w:rsid w:val="00123092"/>
    <w:rsid w:val="00124E6C"/>
    <w:rsid w:val="00126BD9"/>
    <w:rsid w:val="00132A5C"/>
    <w:rsid w:val="00135015"/>
    <w:rsid w:val="0013581F"/>
    <w:rsid w:val="0014157C"/>
    <w:rsid w:val="00151C20"/>
    <w:rsid w:val="00166750"/>
    <w:rsid w:val="00172A27"/>
    <w:rsid w:val="001763E2"/>
    <w:rsid w:val="0018742A"/>
    <w:rsid w:val="001A1847"/>
    <w:rsid w:val="001C088C"/>
    <w:rsid w:val="001D45B6"/>
    <w:rsid w:val="001E2856"/>
    <w:rsid w:val="001F0506"/>
    <w:rsid w:val="001F0A07"/>
    <w:rsid w:val="002032FB"/>
    <w:rsid w:val="002073D2"/>
    <w:rsid w:val="00213710"/>
    <w:rsid w:val="00215801"/>
    <w:rsid w:val="00237D06"/>
    <w:rsid w:val="0024222A"/>
    <w:rsid w:val="00251D79"/>
    <w:rsid w:val="0028419D"/>
    <w:rsid w:val="002A0230"/>
    <w:rsid w:val="002A605A"/>
    <w:rsid w:val="002C351D"/>
    <w:rsid w:val="002D4244"/>
    <w:rsid w:val="002F407D"/>
    <w:rsid w:val="002F795F"/>
    <w:rsid w:val="00305D92"/>
    <w:rsid w:val="00315F33"/>
    <w:rsid w:val="003207A4"/>
    <w:rsid w:val="0033607A"/>
    <w:rsid w:val="00336BAB"/>
    <w:rsid w:val="00351970"/>
    <w:rsid w:val="00354B22"/>
    <w:rsid w:val="00361092"/>
    <w:rsid w:val="003619AB"/>
    <w:rsid w:val="00362251"/>
    <w:rsid w:val="003708B2"/>
    <w:rsid w:val="003737AF"/>
    <w:rsid w:val="00381323"/>
    <w:rsid w:val="003B4B1D"/>
    <w:rsid w:val="004037FD"/>
    <w:rsid w:val="00405DCA"/>
    <w:rsid w:val="00407634"/>
    <w:rsid w:val="004129E6"/>
    <w:rsid w:val="00415596"/>
    <w:rsid w:val="00417357"/>
    <w:rsid w:val="00425969"/>
    <w:rsid w:val="0043336D"/>
    <w:rsid w:val="004545B7"/>
    <w:rsid w:val="00466934"/>
    <w:rsid w:val="00472475"/>
    <w:rsid w:val="0048400A"/>
    <w:rsid w:val="00487CFC"/>
    <w:rsid w:val="00490A38"/>
    <w:rsid w:val="004A08DC"/>
    <w:rsid w:val="004B1C66"/>
    <w:rsid w:val="004B3C6D"/>
    <w:rsid w:val="004C0C81"/>
    <w:rsid w:val="004C11AD"/>
    <w:rsid w:val="004C7A06"/>
    <w:rsid w:val="004E4AB3"/>
    <w:rsid w:val="004E781D"/>
    <w:rsid w:val="00501BD9"/>
    <w:rsid w:val="0050493A"/>
    <w:rsid w:val="00504D4A"/>
    <w:rsid w:val="005166B2"/>
    <w:rsid w:val="005312A9"/>
    <w:rsid w:val="00534B1D"/>
    <w:rsid w:val="005400B8"/>
    <w:rsid w:val="00545BFE"/>
    <w:rsid w:val="00551C62"/>
    <w:rsid w:val="00556772"/>
    <w:rsid w:val="00561006"/>
    <w:rsid w:val="005658FF"/>
    <w:rsid w:val="0057454B"/>
    <w:rsid w:val="005846F4"/>
    <w:rsid w:val="00590825"/>
    <w:rsid w:val="0059240E"/>
    <w:rsid w:val="005A1001"/>
    <w:rsid w:val="005A1E00"/>
    <w:rsid w:val="005B6AD2"/>
    <w:rsid w:val="005B7136"/>
    <w:rsid w:val="005E0AD9"/>
    <w:rsid w:val="005F15C3"/>
    <w:rsid w:val="005F6666"/>
    <w:rsid w:val="00613499"/>
    <w:rsid w:val="006213AC"/>
    <w:rsid w:val="00624130"/>
    <w:rsid w:val="00625084"/>
    <w:rsid w:val="006330C2"/>
    <w:rsid w:val="00635356"/>
    <w:rsid w:val="00652E5E"/>
    <w:rsid w:val="00655C9E"/>
    <w:rsid w:val="00674D32"/>
    <w:rsid w:val="00686F45"/>
    <w:rsid w:val="006B43C2"/>
    <w:rsid w:val="006B6D41"/>
    <w:rsid w:val="006D4E60"/>
    <w:rsid w:val="006D661C"/>
    <w:rsid w:val="006E1137"/>
    <w:rsid w:val="006E7A6A"/>
    <w:rsid w:val="006F6154"/>
    <w:rsid w:val="00712A5B"/>
    <w:rsid w:val="00720DC5"/>
    <w:rsid w:val="00723422"/>
    <w:rsid w:val="0073402B"/>
    <w:rsid w:val="00736614"/>
    <w:rsid w:val="00746F42"/>
    <w:rsid w:val="00756716"/>
    <w:rsid w:val="0077157A"/>
    <w:rsid w:val="0077495C"/>
    <w:rsid w:val="007801EC"/>
    <w:rsid w:val="00780592"/>
    <w:rsid w:val="007B1AEC"/>
    <w:rsid w:val="007C4069"/>
    <w:rsid w:val="007D1257"/>
    <w:rsid w:val="007D2317"/>
    <w:rsid w:val="007E2DA5"/>
    <w:rsid w:val="007E555C"/>
    <w:rsid w:val="00802FBF"/>
    <w:rsid w:val="0081496C"/>
    <w:rsid w:val="00814BD8"/>
    <w:rsid w:val="008221A0"/>
    <w:rsid w:val="008345FD"/>
    <w:rsid w:val="00835785"/>
    <w:rsid w:val="00836300"/>
    <w:rsid w:val="00846CED"/>
    <w:rsid w:val="00850FBB"/>
    <w:rsid w:val="00866115"/>
    <w:rsid w:val="008840D0"/>
    <w:rsid w:val="00891AC0"/>
    <w:rsid w:val="008C6010"/>
    <w:rsid w:val="008C70CD"/>
    <w:rsid w:val="008E64F3"/>
    <w:rsid w:val="008E7F20"/>
    <w:rsid w:val="00907A1B"/>
    <w:rsid w:val="00910B6D"/>
    <w:rsid w:val="00910EB7"/>
    <w:rsid w:val="0091285D"/>
    <w:rsid w:val="0092497F"/>
    <w:rsid w:val="009424E6"/>
    <w:rsid w:val="0094748E"/>
    <w:rsid w:val="00953B03"/>
    <w:rsid w:val="009769E2"/>
    <w:rsid w:val="00977A7D"/>
    <w:rsid w:val="00991051"/>
    <w:rsid w:val="009B1281"/>
    <w:rsid w:val="009B159A"/>
    <w:rsid w:val="009C4C98"/>
    <w:rsid w:val="009D758E"/>
    <w:rsid w:val="009F12E2"/>
    <w:rsid w:val="00A01C2F"/>
    <w:rsid w:val="00A0481F"/>
    <w:rsid w:val="00A2399B"/>
    <w:rsid w:val="00A3354B"/>
    <w:rsid w:val="00A33940"/>
    <w:rsid w:val="00A37D91"/>
    <w:rsid w:val="00A50ECB"/>
    <w:rsid w:val="00A7597B"/>
    <w:rsid w:val="00A82C1B"/>
    <w:rsid w:val="00A835B4"/>
    <w:rsid w:val="00AB29FA"/>
    <w:rsid w:val="00AC45CE"/>
    <w:rsid w:val="00AD3B50"/>
    <w:rsid w:val="00AD4D67"/>
    <w:rsid w:val="00AF0496"/>
    <w:rsid w:val="00AF4004"/>
    <w:rsid w:val="00B1067B"/>
    <w:rsid w:val="00B14801"/>
    <w:rsid w:val="00B155D4"/>
    <w:rsid w:val="00B17465"/>
    <w:rsid w:val="00B20DC2"/>
    <w:rsid w:val="00B21383"/>
    <w:rsid w:val="00B2287F"/>
    <w:rsid w:val="00B26AAC"/>
    <w:rsid w:val="00B3166C"/>
    <w:rsid w:val="00B36681"/>
    <w:rsid w:val="00B37019"/>
    <w:rsid w:val="00B46BEF"/>
    <w:rsid w:val="00B61632"/>
    <w:rsid w:val="00B64CED"/>
    <w:rsid w:val="00B66745"/>
    <w:rsid w:val="00B757F7"/>
    <w:rsid w:val="00B7623F"/>
    <w:rsid w:val="00B767E6"/>
    <w:rsid w:val="00B812D0"/>
    <w:rsid w:val="00B87A6B"/>
    <w:rsid w:val="00B95065"/>
    <w:rsid w:val="00BA3C3E"/>
    <w:rsid w:val="00BA5042"/>
    <w:rsid w:val="00BB37B0"/>
    <w:rsid w:val="00BC4961"/>
    <w:rsid w:val="00BD2510"/>
    <w:rsid w:val="00BF04A4"/>
    <w:rsid w:val="00C06D95"/>
    <w:rsid w:val="00C0751C"/>
    <w:rsid w:val="00C07921"/>
    <w:rsid w:val="00C1678B"/>
    <w:rsid w:val="00C35371"/>
    <w:rsid w:val="00C35D27"/>
    <w:rsid w:val="00C36799"/>
    <w:rsid w:val="00C40FE8"/>
    <w:rsid w:val="00C43100"/>
    <w:rsid w:val="00C57C24"/>
    <w:rsid w:val="00C61376"/>
    <w:rsid w:val="00C66102"/>
    <w:rsid w:val="00C8782C"/>
    <w:rsid w:val="00CB20A7"/>
    <w:rsid w:val="00CB5261"/>
    <w:rsid w:val="00CD65D9"/>
    <w:rsid w:val="00CE24D1"/>
    <w:rsid w:val="00CE783A"/>
    <w:rsid w:val="00CF40F7"/>
    <w:rsid w:val="00CF6D0A"/>
    <w:rsid w:val="00D04761"/>
    <w:rsid w:val="00D23BC5"/>
    <w:rsid w:val="00D25AB1"/>
    <w:rsid w:val="00D30BBA"/>
    <w:rsid w:val="00D3107E"/>
    <w:rsid w:val="00D334CE"/>
    <w:rsid w:val="00D47FFC"/>
    <w:rsid w:val="00D5360A"/>
    <w:rsid w:val="00D62DDE"/>
    <w:rsid w:val="00D63CD7"/>
    <w:rsid w:val="00D67388"/>
    <w:rsid w:val="00D8515B"/>
    <w:rsid w:val="00D8517C"/>
    <w:rsid w:val="00DA51F2"/>
    <w:rsid w:val="00DB0B68"/>
    <w:rsid w:val="00DB33B3"/>
    <w:rsid w:val="00DB5D3B"/>
    <w:rsid w:val="00DC1239"/>
    <w:rsid w:val="00DC53C0"/>
    <w:rsid w:val="00DE0682"/>
    <w:rsid w:val="00DE1127"/>
    <w:rsid w:val="00DE27A4"/>
    <w:rsid w:val="00DE332E"/>
    <w:rsid w:val="00DF0EBF"/>
    <w:rsid w:val="00DF2301"/>
    <w:rsid w:val="00DF7C40"/>
    <w:rsid w:val="00E010C9"/>
    <w:rsid w:val="00E135F0"/>
    <w:rsid w:val="00E2458B"/>
    <w:rsid w:val="00E37161"/>
    <w:rsid w:val="00E72BE9"/>
    <w:rsid w:val="00E76BD6"/>
    <w:rsid w:val="00E76CF8"/>
    <w:rsid w:val="00E80C64"/>
    <w:rsid w:val="00E84B23"/>
    <w:rsid w:val="00E900CF"/>
    <w:rsid w:val="00E92B83"/>
    <w:rsid w:val="00E977B3"/>
    <w:rsid w:val="00EA0500"/>
    <w:rsid w:val="00EB08A2"/>
    <w:rsid w:val="00EC62E7"/>
    <w:rsid w:val="00EE39CF"/>
    <w:rsid w:val="00EE3FF3"/>
    <w:rsid w:val="00EE5218"/>
    <w:rsid w:val="00EF6FF1"/>
    <w:rsid w:val="00F265C9"/>
    <w:rsid w:val="00F34F6E"/>
    <w:rsid w:val="00F521CD"/>
    <w:rsid w:val="00F56134"/>
    <w:rsid w:val="00F8387C"/>
    <w:rsid w:val="00F83E65"/>
    <w:rsid w:val="00FA2629"/>
    <w:rsid w:val="00FA53BE"/>
    <w:rsid w:val="00FA6323"/>
    <w:rsid w:val="00FB17BB"/>
    <w:rsid w:val="00FB20D0"/>
    <w:rsid w:val="00FB2A6F"/>
    <w:rsid w:val="00FC0CB2"/>
    <w:rsid w:val="00FC72D8"/>
    <w:rsid w:val="00FD2963"/>
    <w:rsid w:val="00FF5C07"/>
    <w:rsid w:val="03744F3C"/>
    <w:rsid w:val="04994342"/>
    <w:rsid w:val="056F52C7"/>
    <w:rsid w:val="05B22460"/>
    <w:rsid w:val="06C92702"/>
    <w:rsid w:val="083F5305"/>
    <w:rsid w:val="086F75C9"/>
    <w:rsid w:val="08AA42BB"/>
    <w:rsid w:val="092624A9"/>
    <w:rsid w:val="0B394710"/>
    <w:rsid w:val="0BA9762F"/>
    <w:rsid w:val="0D155532"/>
    <w:rsid w:val="0D9F7001"/>
    <w:rsid w:val="0E9A1B17"/>
    <w:rsid w:val="108C797B"/>
    <w:rsid w:val="120B095E"/>
    <w:rsid w:val="16110FEC"/>
    <w:rsid w:val="164815C5"/>
    <w:rsid w:val="16A17F7A"/>
    <w:rsid w:val="170B2BB3"/>
    <w:rsid w:val="17A50911"/>
    <w:rsid w:val="189A159F"/>
    <w:rsid w:val="1AB062D8"/>
    <w:rsid w:val="215C0204"/>
    <w:rsid w:val="22912BD8"/>
    <w:rsid w:val="23D75ECD"/>
    <w:rsid w:val="2641214D"/>
    <w:rsid w:val="274B1EBF"/>
    <w:rsid w:val="287632C7"/>
    <w:rsid w:val="28B27E52"/>
    <w:rsid w:val="28C06A10"/>
    <w:rsid w:val="29081A49"/>
    <w:rsid w:val="297C2A42"/>
    <w:rsid w:val="2AD56338"/>
    <w:rsid w:val="2B7FF043"/>
    <w:rsid w:val="2D564F76"/>
    <w:rsid w:val="2D766B80"/>
    <w:rsid w:val="2E5D7B76"/>
    <w:rsid w:val="33093FF2"/>
    <w:rsid w:val="337B6D0E"/>
    <w:rsid w:val="33C97545"/>
    <w:rsid w:val="35CB36F8"/>
    <w:rsid w:val="37480D48"/>
    <w:rsid w:val="389B393F"/>
    <w:rsid w:val="3B093A44"/>
    <w:rsid w:val="3B8F2A86"/>
    <w:rsid w:val="3D151929"/>
    <w:rsid w:val="3F1E2E54"/>
    <w:rsid w:val="40482A6E"/>
    <w:rsid w:val="41D74C2F"/>
    <w:rsid w:val="42075BA1"/>
    <w:rsid w:val="42F425C9"/>
    <w:rsid w:val="42FD297C"/>
    <w:rsid w:val="441F1F36"/>
    <w:rsid w:val="44A14075"/>
    <w:rsid w:val="4518372F"/>
    <w:rsid w:val="452847AC"/>
    <w:rsid w:val="458E717F"/>
    <w:rsid w:val="45B55914"/>
    <w:rsid w:val="463437E9"/>
    <w:rsid w:val="471805B0"/>
    <w:rsid w:val="47874F1C"/>
    <w:rsid w:val="48A4530C"/>
    <w:rsid w:val="48CA7BDF"/>
    <w:rsid w:val="495D09FE"/>
    <w:rsid w:val="4BA31A6D"/>
    <w:rsid w:val="4CF70909"/>
    <w:rsid w:val="4CFD58D0"/>
    <w:rsid w:val="4D1514F1"/>
    <w:rsid w:val="4F43714D"/>
    <w:rsid w:val="4FE521B2"/>
    <w:rsid w:val="50A82C0C"/>
    <w:rsid w:val="510C32BB"/>
    <w:rsid w:val="52BB6C5F"/>
    <w:rsid w:val="52D51532"/>
    <w:rsid w:val="532C41AD"/>
    <w:rsid w:val="540F7726"/>
    <w:rsid w:val="54F14E84"/>
    <w:rsid w:val="56542B88"/>
    <w:rsid w:val="56CF76BF"/>
    <w:rsid w:val="56FEDD19"/>
    <w:rsid w:val="580A5432"/>
    <w:rsid w:val="598D697A"/>
    <w:rsid w:val="59C55F97"/>
    <w:rsid w:val="59CA29A4"/>
    <w:rsid w:val="5A7727FC"/>
    <w:rsid w:val="5AF0258B"/>
    <w:rsid w:val="5BCA10E8"/>
    <w:rsid w:val="5C856DAC"/>
    <w:rsid w:val="5EB6477F"/>
    <w:rsid w:val="5EE77BB3"/>
    <w:rsid w:val="5F4366D9"/>
    <w:rsid w:val="608C621E"/>
    <w:rsid w:val="623C25C1"/>
    <w:rsid w:val="65C46CD4"/>
    <w:rsid w:val="660410F9"/>
    <w:rsid w:val="66414ABD"/>
    <w:rsid w:val="66D93700"/>
    <w:rsid w:val="67A96C2F"/>
    <w:rsid w:val="6A354D9D"/>
    <w:rsid w:val="6B3E511E"/>
    <w:rsid w:val="6B755FF2"/>
    <w:rsid w:val="6BDFD242"/>
    <w:rsid w:val="6C7478F0"/>
    <w:rsid w:val="6D0F297C"/>
    <w:rsid w:val="6D2F3337"/>
    <w:rsid w:val="6D3166AE"/>
    <w:rsid w:val="6D7E290C"/>
    <w:rsid w:val="6D93632C"/>
    <w:rsid w:val="6E2605DE"/>
    <w:rsid w:val="6E4338C3"/>
    <w:rsid w:val="6E6B5347"/>
    <w:rsid w:val="700D2BFC"/>
    <w:rsid w:val="70230F84"/>
    <w:rsid w:val="7205184D"/>
    <w:rsid w:val="72E73E1D"/>
    <w:rsid w:val="72ED820F"/>
    <w:rsid w:val="734C360E"/>
    <w:rsid w:val="746C5BB4"/>
    <w:rsid w:val="77276074"/>
    <w:rsid w:val="77DFA6D2"/>
    <w:rsid w:val="77FF6B89"/>
    <w:rsid w:val="77FF7ADE"/>
    <w:rsid w:val="788C0F3B"/>
    <w:rsid w:val="7B867BAC"/>
    <w:rsid w:val="7D1961AD"/>
    <w:rsid w:val="7DAC433F"/>
    <w:rsid w:val="7DB5062C"/>
    <w:rsid w:val="7E494870"/>
    <w:rsid w:val="7F4FFE4A"/>
    <w:rsid w:val="7F5300F0"/>
    <w:rsid w:val="7FE45CD6"/>
    <w:rsid w:val="7FF30A9D"/>
    <w:rsid w:val="7FFF2F94"/>
    <w:rsid w:val="7FFF8B70"/>
    <w:rsid w:val="8B1EDE70"/>
    <w:rsid w:val="8EE714A6"/>
    <w:rsid w:val="BBEE03AB"/>
    <w:rsid w:val="DCFFF467"/>
    <w:rsid w:val="E8E1CE8E"/>
    <w:rsid w:val="EC9F2579"/>
    <w:rsid w:val="FBE65C2B"/>
    <w:rsid w:val="FBED6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styleId="7">
    <w:name w:val="annotation subject"/>
    <w:basedOn w:val="2"/>
    <w:next w:val="2"/>
    <w:link w:val="20"/>
    <w:semiHidden/>
    <w:unhideWhenUsed/>
    <w:qFormat/>
    <w:uiPriority w:val="99"/>
    <w:rPr>
      <w:b/>
      <w:bCs/>
    </w:rPr>
  </w:style>
  <w:style w:type="table" w:styleId="9">
    <w:name w:val="Table Grid"/>
    <w:basedOn w:val="8"/>
    <w:unhideWhenUsed/>
    <w:qFormat/>
    <w:uiPriority w:val="99"/>
    <w:pPr>
      <w:jc w:val="both"/>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22"/>
    <w:rPr>
      <w:b/>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paragraph" w:styleId="16">
    <w:name w:val="List Paragraph"/>
    <w:basedOn w:val="1"/>
    <w:qFormat/>
    <w:uiPriority w:val="99"/>
    <w:pPr>
      <w:ind w:firstLine="420" w:firstLineChars="200"/>
    </w:pPr>
  </w:style>
  <w:style w:type="paragraph" w:customStyle="1" w:styleId="17">
    <w:name w:val="p0"/>
    <w:basedOn w:val="1"/>
    <w:qFormat/>
    <w:uiPriority w:val="0"/>
    <w:pPr>
      <w:widowControl/>
    </w:pPr>
    <w:rPr>
      <w:rFonts w:ascii="仿宋_GB2312" w:hAnsi="仿宋_GB2312" w:eastAsia="宋体" w:cs="宋体"/>
      <w:spacing w:val="20"/>
      <w:kern w:val="0"/>
      <w:sz w:val="32"/>
      <w:szCs w:val="32"/>
    </w:rPr>
  </w:style>
  <w:style w:type="character" w:customStyle="1" w:styleId="18">
    <w:name w:val="批注框文本 字符"/>
    <w:basedOn w:val="10"/>
    <w:link w:val="3"/>
    <w:semiHidden/>
    <w:qFormat/>
    <w:uiPriority w:val="99"/>
    <w:rPr>
      <w:rFonts w:asciiTheme="minorHAnsi" w:hAnsiTheme="minorHAnsi" w:eastAsiaTheme="minorEastAsia" w:cstheme="minorBidi"/>
      <w:kern w:val="2"/>
      <w:sz w:val="18"/>
      <w:szCs w:val="18"/>
    </w:rPr>
  </w:style>
  <w:style w:type="character" w:customStyle="1" w:styleId="19">
    <w:name w:val="批注文字 字符"/>
    <w:basedOn w:val="10"/>
    <w:link w:val="2"/>
    <w:semiHidden/>
    <w:qFormat/>
    <w:uiPriority w:val="99"/>
    <w:rPr>
      <w:rFonts w:asciiTheme="minorHAnsi" w:hAnsiTheme="minorHAnsi" w:eastAsiaTheme="minorEastAsia" w:cstheme="minorBidi"/>
      <w:kern w:val="2"/>
      <w:sz w:val="21"/>
      <w:szCs w:val="22"/>
    </w:rPr>
  </w:style>
  <w:style w:type="character" w:customStyle="1" w:styleId="20">
    <w:name w:val="批注主题 字符"/>
    <w:basedOn w:val="19"/>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5156</Words>
  <Characters>5415</Characters>
  <Lines>41</Lines>
  <Paragraphs>11</Paragraphs>
  <TotalTime>152</TotalTime>
  <ScaleCrop>false</ScaleCrop>
  <LinksUpToDate>false</LinksUpToDate>
  <CharactersWithSpaces>5473</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2023-08-17T09:15:00Z</dcterms:created>
  <dc:creator>trgrtyhrt</dc:creator>
  <cp:lastModifiedBy>市住建局</cp:lastModifiedBy>
  <cp:lastPrinted>2017-03-07T18:00:00Z</cp:lastPrinted>
  <dcterms:modified xsi:type="dcterms:W3CDTF">2024-06-25T10:15:54Z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B0676FB8403F80EFF2137966FF483A9D</vt:lpwstr>
  </property>
</Properties>
</file>