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700" w:lineRule="exact"/>
        <w:jc w:val="center"/>
        <w:rPr>
          <w:rFonts w:hint="eastAsia" w:ascii="方正小标宋简体" w:hAnsi="宋体" w:eastAsia="方正小标宋简体" w:cs="微软雅黑"/>
          <w:sz w:val="44"/>
          <w:szCs w:val="44"/>
          <w14:ligatures w14:val="none"/>
        </w:rPr>
      </w:pPr>
      <w:r>
        <w:rPr>
          <w:rFonts w:hint="eastAsia" w:ascii="方正小标宋简体" w:hAnsi="宋体" w:eastAsia="方正小标宋简体" w:cs="微软雅黑"/>
          <w:sz w:val="44"/>
          <w:szCs w:val="44"/>
          <w14:ligatures w14:val="none"/>
        </w:rPr>
        <w:t>厦门市室内喷涂机器人建设指引</w:t>
      </w:r>
    </w:p>
    <w:p>
      <w:pPr>
        <w:autoSpaceDE w:val="0"/>
        <w:autoSpaceDN w:val="0"/>
        <w:adjustRightInd w:val="0"/>
        <w:snapToGrid w:val="0"/>
        <w:spacing w:line="700" w:lineRule="exact"/>
        <w:jc w:val="center"/>
        <w:rPr>
          <w:rFonts w:hint="eastAsia" w:ascii="方正小标宋简体" w:hAnsi="宋体" w:eastAsia="方正小标宋简体" w:cs="微软雅黑"/>
          <w:sz w:val="44"/>
          <w:szCs w:val="44"/>
          <w14:ligatures w14:val="none"/>
        </w:rPr>
      </w:pPr>
      <w:bookmarkStart w:id="43" w:name="_GoBack"/>
      <w:bookmarkEnd w:id="43"/>
      <w:r>
        <w:rPr>
          <w:rFonts w:hint="eastAsia" w:ascii="方正小标宋简体" w:hAnsi="宋体" w:eastAsia="方正小标宋简体" w:cs="微软雅黑"/>
          <w:sz w:val="44"/>
          <w:szCs w:val="44"/>
          <w14:ligatures w14:val="none"/>
        </w:rPr>
        <w:t>（</w:t>
      </w:r>
      <w:r>
        <w:rPr>
          <w:rFonts w:hint="eastAsia" w:ascii="方正小标宋简体" w:hAnsi="宋体" w:eastAsia="方正小标宋简体" w:cs="微软雅黑"/>
          <w:sz w:val="44"/>
          <w:szCs w:val="44"/>
          <w:lang w:eastAsia="zh-CN"/>
          <w14:ligatures w14:val="none"/>
        </w:rPr>
        <w:t>征求意见稿</w:t>
      </w:r>
      <w:r>
        <w:rPr>
          <w:rFonts w:hint="eastAsia" w:ascii="方正小标宋简体" w:hAnsi="宋体" w:eastAsia="方正小标宋简体" w:cs="微软雅黑"/>
          <w:sz w:val="44"/>
          <w:szCs w:val="44"/>
          <w14:ligatures w14:val="none"/>
        </w:rPr>
        <w:t>）</w:t>
      </w:r>
      <w:bookmarkStart w:id="0" w:name="_Toc171693022"/>
      <w:bookmarkStart w:id="1" w:name="_Toc171692816"/>
      <w:bookmarkStart w:id="2" w:name="_Toc171693201"/>
      <w:bookmarkStart w:id="3" w:name="_Toc175813234"/>
    </w:p>
    <w:p>
      <w:pPr>
        <w:spacing w:line="560" w:lineRule="exact"/>
        <w:jc w:val="center"/>
        <w:rPr>
          <w:rFonts w:hint="eastAsia" w:ascii="方正小标宋简体" w:hAnsi="方正小标宋简体" w:eastAsia="方正小标宋简体" w:cs="方正小标宋简体"/>
          <w:sz w:val="52"/>
          <w:szCs w:val="52"/>
          <w14:ligatures w14:val="none"/>
        </w:rPr>
      </w:pPr>
    </w:p>
    <w:p>
      <w:pPr>
        <w:spacing w:line="560" w:lineRule="exact"/>
        <w:jc w:val="center"/>
        <w:rPr>
          <w:rFonts w:hint="eastAsia" w:ascii="方正中等线_GBK" w:hAnsi="方正中等线_GBK" w:eastAsia="方正中等线_GBK" w:cs="方正中等线_GBK"/>
          <w:b/>
          <w:bCs/>
          <w:szCs w:val="32"/>
        </w:rPr>
      </w:pPr>
      <w:r>
        <w:rPr>
          <w:rFonts w:hint="eastAsia" w:ascii="方正中等线_GBK" w:hAnsi="方正中等线_GBK" w:eastAsia="方正中等线_GBK" w:cs="方正中等线_GBK"/>
          <w:b/>
          <w:bCs/>
          <w:szCs w:val="32"/>
        </w:rPr>
        <w:t>1</w:t>
      </w:r>
      <w:bookmarkEnd w:id="0"/>
      <w:bookmarkEnd w:id="1"/>
      <w:bookmarkEnd w:id="2"/>
      <w:r>
        <w:rPr>
          <w:rFonts w:hint="eastAsia" w:ascii="方正中等线_GBK" w:hAnsi="方正中等线_GBK" w:eastAsia="方正中等线_GBK" w:cs="方正中等线_GBK"/>
          <w:b/>
          <w:bCs/>
          <w:szCs w:val="32"/>
        </w:rPr>
        <w:t xml:space="preserve">  总则</w:t>
      </w:r>
      <w:bookmarkEnd w:id="3"/>
    </w:p>
    <w:p>
      <w:pPr>
        <w:spacing w:line="560" w:lineRule="exact"/>
        <w:rPr>
          <w:rFonts w:hint="eastAsia" w:ascii="FangSong_GB2312" w:hAnsi="FangSong_GB2312" w:eastAsia="FangSong_GB2312" w:cs="FangSong_GB2312"/>
          <w:szCs w:val="32"/>
        </w:rPr>
      </w:pPr>
    </w:p>
    <w:p>
      <w:pPr>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1.1 为落实《厦门市智能建造试点城市实施方案》等有关文件精神，推动我市建设领域科技创新，提升工程建设数字化水平，提高工程项目管理效率，促进房屋建筑工程智慧化工地应用，有效指导施工现场室内喷涂机器人应用规范化、科学化和智能化，特制定本指引。</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1.2 本指引适用于计划采用室内喷涂机器人进行室内涂料施工的新建、改（扩）建的房屋建筑工程。</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1.3 室内喷涂机器人的使用、检测、维护等安全管理除应符合本指引外，尚应符合国家、行业和本省市现行有关标准的规定。</w:t>
      </w:r>
    </w:p>
    <w:p>
      <w:pPr>
        <w:spacing w:line="560" w:lineRule="exact"/>
        <w:rPr>
          <w:rFonts w:hint="eastAsia" w:ascii="FangSong_GB2312" w:hAnsi="FangSong_GB2312" w:eastAsia="FangSong_GB2312" w:cs="FangSong_GB2312"/>
          <w:color w:val="0000FF"/>
          <w:szCs w:val="32"/>
        </w:rPr>
      </w:pPr>
    </w:p>
    <w:p>
      <w:pPr>
        <w:spacing w:line="560" w:lineRule="exact"/>
        <w:jc w:val="center"/>
        <w:rPr>
          <w:rFonts w:hint="eastAsia" w:ascii="方正中等线_GBK" w:hAnsi="方正中等线_GBK" w:eastAsia="方正中等线_GBK" w:cs="方正中等线_GBK"/>
          <w:b/>
          <w:bCs/>
          <w:szCs w:val="32"/>
        </w:rPr>
      </w:pPr>
      <w:bookmarkStart w:id="4" w:name="_Toc171693024"/>
      <w:bookmarkStart w:id="5" w:name="_Toc171693203"/>
      <w:bookmarkStart w:id="6" w:name="_Toc171692818"/>
      <w:bookmarkStart w:id="7" w:name="_Toc175813235"/>
      <w:r>
        <w:rPr>
          <w:rFonts w:hint="eastAsia" w:ascii="方正中等线_GBK" w:hAnsi="方正中等线_GBK" w:eastAsia="方正中等线_GBK" w:cs="方正中等线_GBK"/>
          <w:b/>
          <w:bCs/>
          <w:szCs w:val="32"/>
        </w:rPr>
        <w:t>2</w:t>
      </w:r>
      <w:bookmarkEnd w:id="4"/>
      <w:bookmarkEnd w:id="5"/>
      <w:bookmarkEnd w:id="6"/>
      <w:r>
        <w:rPr>
          <w:rFonts w:hint="eastAsia" w:ascii="方正中等线_GBK" w:hAnsi="方正中等线_GBK" w:eastAsia="方正中等线_GBK" w:cs="方正中等线_GBK"/>
          <w:b/>
          <w:bCs/>
          <w:szCs w:val="32"/>
        </w:rPr>
        <w:t xml:space="preserve">  适用标准文件</w:t>
      </w:r>
      <w:bookmarkEnd w:id="7"/>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室内喷涂机器人的使用、检测、维护等，应执行常规喷涂机器人相关标准规定，及室内喷涂机器人相关全国性协会团体标准中与本指引无冲突内容，包括但不限于以下项：</w:t>
      </w:r>
    </w:p>
    <w:p>
      <w:pPr>
        <w:numPr>
          <w:ilvl w:val="0"/>
          <w:numId w:val="1"/>
        </w:num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《工业机器人验收规则》（JB/T 8896）</w:t>
      </w:r>
    </w:p>
    <w:p>
      <w:pPr>
        <w:numPr>
          <w:ilvl w:val="0"/>
          <w:numId w:val="1"/>
        </w:num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《工业机器人特性表示》（GB/T 12644）</w:t>
      </w:r>
    </w:p>
    <w:p>
      <w:pPr>
        <w:numPr>
          <w:ilvl w:val="0"/>
          <w:numId w:val="1"/>
        </w:num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《工业机器人 电磁兼容性试验方法和性能评估准则指南》（GB/Z 19397）</w:t>
      </w:r>
    </w:p>
    <w:p>
      <w:pPr>
        <w:numPr>
          <w:ilvl w:val="0"/>
          <w:numId w:val="1"/>
        </w:num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《包装储运图示标志》（GB/T 191）</w:t>
      </w:r>
    </w:p>
    <w:p>
      <w:pPr>
        <w:numPr>
          <w:ilvl w:val="0"/>
          <w:numId w:val="1"/>
        </w:num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《防霉包装》（GB/T 4768）</w:t>
      </w:r>
    </w:p>
    <w:p>
      <w:pPr>
        <w:numPr>
          <w:ilvl w:val="0"/>
          <w:numId w:val="1"/>
        </w:num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《工业环境用机器人安全要求 第1部分：机器人》（GB 11291.1）</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（7）《工业机器人性能规范及其试验方法》（GB/T 12642）</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 xml:space="preserve">（8）《机器人与机器人装备词汇》（GB/T 12643） </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（9）《防锈包装》（GB/T 4879）</w:t>
      </w:r>
    </w:p>
    <w:p>
      <w:pPr>
        <w:spacing w:line="560" w:lineRule="exact"/>
        <w:ind w:firstLine="640" w:firstLineChars="200"/>
        <w:jc w:val="both"/>
      </w:pPr>
      <w:r>
        <w:rPr>
          <w:rFonts w:hint="eastAsia" w:ascii="FangSong_GB2312" w:hAnsi="FangSong_GB2312" w:eastAsia="FangSong_GB2312" w:cs="FangSong_GB2312"/>
          <w:szCs w:val="32"/>
        </w:rPr>
        <w:t>（10）《防潮包装》（GB/T 5048）</w:t>
      </w:r>
    </w:p>
    <w:p>
      <w:pPr>
        <w:autoSpaceDE w:val="0"/>
        <w:autoSpaceDN w:val="0"/>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（11）《水液压系统通用技术条件》（T/CMES24002）</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（12）《机械电气安全机械电气设备 第1部分：通用技术条件》（GB/T 5226.1）</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（13）《建筑施工安全检查标准》（JGJ 59）</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（14）《施工现场临时用电安全技术规范》（JGJ46）</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（15）《建设工程施工现场消防安全技术规范》（GB 50720）</w:t>
      </w:r>
    </w:p>
    <w:p>
      <w:pPr>
        <w:autoSpaceDE w:val="0"/>
        <w:autoSpaceDN w:val="0"/>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（16）《建筑装饰装修工程质量验收标准》（GB50210）</w:t>
      </w:r>
    </w:p>
    <w:p>
      <w:pPr>
        <w:pStyle w:val="2"/>
        <w:ind w:left="640" w:firstLine="640"/>
      </w:pPr>
    </w:p>
    <w:p>
      <w:pPr>
        <w:pStyle w:val="48"/>
        <w:spacing w:after="0" w:line="560" w:lineRule="exact"/>
        <w:rPr>
          <w:rFonts w:hint="eastAsia" w:ascii="方正中等线_GBK" w:hAnsi="方正中等线_GBK" w:eastAsia="方正中等线_GBK" w:cs="方正中等线_GBK"/>
          <w:b/>
          <w:kern w:val="2"/>
          <w:szCs w:val="32"/>
          <w14:ligatures w14:val="standardContextual"/>
        </w:rPr>
      </w:pPr>
      <w:bookmarkStart w:id="8" w:name="_Toc171693205"/>
      <w:bookmarkStart w:id="9" w:name="_Toc171693026"/>
      <w:bookmarkStart w:id="10" w:name="_Toc171692820"/>
      <w:bookmarkStart w:id="11" w:name="_Toc175813236"/>
      <w:r>
        <w:rPr>
          <w:rFonts w:hint="eastAsia" w:ascii="方正中等线_GBK" w:hAnsi="方正中等线_GBK" w:eastAsia="方正中等线_GBK" w:cs="方正中等线_GBK"/>
          <w:b/>
          <w:kern w:val="2"/>
          <w:szCs w:val="32"/>
          <w14:ligatures w14:val="standardContextual"/>
        </w:rPr>
        <w:t>3  术语</w:t>
      </w:r>
      <w:bookmarkEnd w:id="8"/>
      <w:bookmarkEnd w:id="9"/>
      <w:bookmarkEnd w:id="10"/>
      <w:r>
        <w:rPr>
          <w:rFonts w:hint="eastAsia" w:ascii="方正中等线_GBK" w:hAnsi="方正中等线_GBK" w:eastAsia="方正中等线_GBK" w:cs="方正中等线_GBK"/>
          <w:b/>
          <w:kern w:val="2"/>
          <w:szCs w:val="32"/>
          <w14:ligatures w14:val="standardContextual"/>
        </w:rPr>
        <w:t>和定义</w:t>
      </w:r>
      <w:bookmarkEnd w:id="11"/>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下列术语和定义适用于本指引。</w:t>
      </w:r>
    </w:p>
    <w:p>
      <w:pPr>
        <w:spacing w:line="560" w:lineRule="exact"/>
        <w:ind w:firstLine="640" w:firstLineChars="200"/>
        <w:jc w:val="both"/>
        <w:rPr>
          <w:rFonts w:hint="eastAsia" w:ascii="FangSong_GB2312" w:hAnsi="FangSong_GB2312" w:eastAsia="FangSong_GB2312" w:cs="FangSong_GB2312"/>
          <w:szCs w:val="32"/>
        </w:rPr>
      </w:pPr>
      <w:bookmarkStart w:id="12" w:name="_Toc171692821"/>
      <w:bookmarkStart w:id="13" w:name="_Toc171693206"/>
      <w:bookmarkStart w:id="14" w:name="_Toc171693027"/>
      <w:r>
        <w:rPr>
          <w:rFonts w:hint="eastAsia" w:ascii="FangSong_GB2312" w:hAnsi="FangSong_GB2312" w:eastAsia="FangSong_GB2312" w:cs="FangSong_GB2312"/>
          <w:szCs w:val="32"/>
        </w:rPr>
        <w:t xml:space="preserve">3.1 </w:t>
      </w:r>
      <w:bookmarkEnd w:id="12"/>
      <w:bookmarkEnd w:id="13"/>
      <w:bookmarkEnd w:id="14"/>
      <w:r>
        <w:rPr>
          <w:rFonts w:hint="eastAsia" w:ascii="FangSong_GB2312" w:hAnsi="FangSong_GB2312" w:eastAsia="FangSong_GB2312" w:cs="FangSong_GB2312"/>
          <w:szCs w:val="32"/>
        </w:rPr>
        <w:t>室内喷涂机器人：用于在室内环境中进行涂料喷涂作业的自动化设备。该机器人通过预设程序或者遥控操作，能够高效、均匀地涂覆墙壁、天花板等表面，减少人力成本和提升涂装质量。</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3.2 喷涂作业系统：喷涂机器人用于输送涂料的系统，通过机械臂、喷头、喷涂雾化装置、给料桶等组件实现喷涂作业。</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3.3 移动系统：用于支撑和移动机器人，移动底盘使喷涂机器人能够在不同环境中自由移动。</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3.4 导航和识别系统：提供导航功能，实时追踪机器人的位置，确保喷涂路径的准确性。识别系统可以检测到对象的几何形状、表面特征和颜色等信息，为后续的路径规划和喷涂控制提供基础数据，从而实现自动化精准喷涂作业。</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3.5 操作系统：管理喷涂机器人的一种内置程序，管理和协调喷涂机器人的各个硬件部分，实现自动化喷涂作业。</w:t>
      </w:r>
    </w:p>
    <w:p>
      <w:pPr>
        <w:spacing w:line="560" w:lineRule="exact"/>
        <w:ind w:firstLine="640" w:firstLineChars="200"/>
        <w:jc w:val="both"/>
      </w:pPr>
      <w:r>
        <w:rPr>
          <w:rFonts w:hint="eastAsia" w:ascii="FangSong_GB2312" w:hAnsi="FangSong_GB2312" w:eastAsia="FangSong_GB2312" w:cs="FangSong_GB2312"/>
          <w:szCs w:val="32"/>
        </w:rPr>
        <w:t>3.6 电气系统：主要包括控制器、传感器、执行器、控制程序和监控系统等部分，作为喷涂机器人各种电气元件的集成体，用于实现对机器人各项功能的控制，同时保证设备安全、可靠地运行。</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3.7 安全保障系统：用于确保喷涂机器人运行过程中安全性的系统，可以防止或减少运行过程中危险事件的发生。</w:t>
      </w:r>
    </w:p>
    <w:p>
      <w:pPr>
        <w:spacing w:line="560" w:lineRule="exact"/>
        <w:ind w:firstLine="640" w:firstLineChars="200"/>
        <w:jc w:val="both"/>
        <w:rPr>
          <w:rFonts w:hint="eastAsia" w:ascii="FangSong_GB2312" w:hAnsi="FangSong_GB2312" w:eastAsia="FangSong_GB2312" w:cs="FangSong_GB2312"/>
          <w:color w:val="0000FF"/>
          <w:szCs w:val="32"/>
        </w:rPr>
      </w:pPr>
    </w:p>
    <w:p>
      <w:pPr>
        <w:spacing w:line="560" w:lineRule="exact"/>
        <w:rPr>
          <w:rFonts w:hint="eastAsia" w:ascii="FangSong_GB2312" w:hAnsi="FangSong_GB2312" w:eastAsia="FangSong_GB2312" w:cs="FangSong_GB2312"/>
          <w:color w:val="0000FF"/>
          <w:szCs w:val="32"/>
        </w:rPr>
      </w:pPr>
    </w:p>
    <w:p>
      <w:pPr>
        <w:spacing w:line="560" w:lineRule="exact"/>
        <w:jc w:val="center"/>
        <w:rPr>
          <w:rFonts w:hint="eastAsia" w:ascii="方正中等线_GBK" w:hAnsi="方正中等线_GBK" w:eastAsia="方正中等线_GBK" w:cs="方正中等线_GBK"/>
          <w:b/>
          <w:bCs/>
          <w:color w:val="0000FF"/>
          <w:szCs w:val="32"/>
        </w:rPr>
      </w:pPr>
      <w:bookmarkStart w:id="15" w:name="_Toc171693028"/>
      <w:bookmarkStart w:id="16" w:name="_Toc171692822"/>
      <w:bookmarkStart w:id="17" w:name="_Toc171693207"/>
      <w:bookmarkStart w:id="18" w:name="_Toc175813237"/>
      <w:r>
        <w:rPr>
          <w:rFonts w:hint="eastAsia" w:ascii="方正中等线_GBK" w:hAnsi="方正中等线_GBK" w:eastAsia="方正中等线_GBK" w:cs="方正中等线_GBK"/>
          <w:b/>
          <w:bCs/>
          <w:szCs w:val="32"/>
        </w:rPr>
        <w:t>4</w:t>
      </w:r>
      <w:bookmarkEnd w:id="15"/>
      <w:bookmarkEnd w:id="16"/>
      <w:bookmarkEnd w:id="17"/>
      <w:r>
        <w:rPr>
          <w:rFonts w:hint="eastAsia" w:ascii="方正中等线_GBK" w:hAnsi="方正中等线_GBK" w:eastAsia="方正中等线_GBK" w:cs="方正中等线_GBK"/>
          <w:b/>
          <w:bCs/>
          <w:szCs w:val="32"/>
        </w:rPr>
        <w:t xml:space="preserve">  基本规定</w:t>
      </w:r>
      <w:bookmarkEnd w:id="18"/>
    </w:p>
    <w:p>
      <w:pPr>
        <w:spacing w:line="560" w:lineRule="exact"/>
        <w:rPr>
          <w:rFonts w:hint="eastAsia" w:ascii="FangSong_GB2312" w:hAnsi="FangSong_GB2312" w:eastAsia="FangSong_GB2312" w:cs="FangSong_GB2312"/>
          <w:color w:val="0000FF"/>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4.1 室内喷涂机器人的设计和制造应包含智能化技术特征，在其型式试验报告、出厂检验报告、出厂合格证、操作说明书等文件上明确智能化标准依据，优先执行国家标准、行业标准、地方标准或全国性协会制定的团体标准，若未有适用的前述标准，生产厂家应根据《标准化法》和相关法规规定制定企业标准，并通过“企业标准信息公共服务平台”（网址：https://www.qybz.org.cn/）和本企业网站等途径主动向社会公开。</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4.2 室内喷涂机器人主要应由喷涂作业系统、移动系统、导航和识别系统、操作系统、电气系统、安全保障系统6部分内容组成，通过各系统协同联动工作，以确保室内喷涂机器人充分具备安全性、高质量、智能化特点，有效保障施工效率和质量的同时保障机器人作业的安全性。</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4.3 喷涂作业系统应包含机械臂、给料桶、喷头及喷头雾化装置等组件。通过喷头雾化装置，将涂料雾化成细小颗粒，借助灵活的机械臂，精确控制涂料的供给，确保涂料均匀、稳定地覆盖在目标表面。</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4.4 导航和识别系统应具有全自动作业及避障功能，根据图纸、模型及喷涂需求，通过无线控制终端进行作业路径规划，生成机器人全自动施工路径。</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4.5 操作系统应可对运行过程中各参数进行实时监控，及时报警提示，生成故障报告记录。</w:t>
      </w:r>
    </w:p>
    <w:p>
      <w:pPr>
        <w:autoSpaceDE w:val="0"/>
        <w:autoSpaceDN w:val="0"/>
        <w:adjustRightInd w:val="0"/>
        <w:snapToGrid w:val="0"/>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4.6 电气系统应具备逻辑控制功能的系统，能控制和检测机器人机械结构并与使用者进行人机交互。</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4.7 安全保障系统应具备紧急情况下将设备电源切断的紧急制动装置。</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4.8 移动系统内置导航和识别系统，能在室内环境下自主导航移动和精确定位，在喷涂时可实现全自动喷涂作业并自动规避门、窗、障碍物等。</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4.9 室内喷涂机器人应具备开机自检功能，机器人开机后自检各模块功能状态，并能反馈和显示机器人当前的状态信息，如有故障情况应显示具体故障信息及时报警提示。</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4.10 操作系统应支持导入图纸、模型等建筑信息文件的功能。</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4.11室内喷涂机器人应独立配置电气控制柜和网桥。</w:t>
      </w:r>
    </w:p>
    <w:p>
      <w:pPr>
        <w:spacing w:line="560" w:lineRule="exact"/>
        <w:ind w:firstLine="640" w:firstLineChars="200"/>
        <w:jc w:val="both"/>
        <w:rPr>
          <w:rFonts w:hint="default" w:ascii="FangSong_GB2312" w:hAnsi="FangSong_GB2312" w:eastAsia="FangSong_GB2312" w:cs="FangSong_GB2312"/>
          <w:szCs w:val="32"/>
          <w:lang w:val="en-US"/>
        </w:rPr>
      </w:pPr>
      <w:r>
        <w:rPr>
          <w:rFonts w:hint="default" w:ascii="FangSong_GB2312" w:hAnsi="FangSong_GB2312" w:eastAsia="FangSong_GB2312" w:cs="FangSong_GB2312"/>
          <w:szCs w:val="32"/>
          <w:lang w:val="en-US" w:eastAsia="zh-CN"/>
        </w:rPr>
        <w:t>4.12喷涂机器人通过高精度传感器识别喷涂对象，实时捕捉形状、位置等信息，并传输至控制系统处理。精确控制喷涂参数，如压力、速度、距离及涂料流量，确保涂层均匀、附着良好。实时监控涂料质量及环境因素，如温度、湿度，通过环境控制系统保持稳定性。根据传感器反馈，调整机器人运动轨迹，确保喷涂精度。</w:t>
      </w:r>
    </w:p>
    <w:p>
      <w:pPr>
        <w:spacing w:line="560" w:lineRule="exact"/>
        <w:ind w:firstLine="640" w:firstLineChars="200"/>
        <w:jc w:val="both"/>
        <w:rPr>
          <w:rFonts w:hint="default" w:ascii="FangSong_GB2312" w:hAnsi="FangSong_GB2312" w:eastAsia="FangSong_GB2312" w:cs="FangSong_GB2312"/>
          <w:szCs w:val="32"/>
          <w:lang w:val="en-US"/>
        </w:rPr>
      </w:pPr>
      <w:r>
        <w:rPr>
          <w:rFonts w:hint="default" w:ascii="FangSong_GB2312" w:hAnsi="FangSong_GB2312" w:eastAsia="FangSong_GB2312" w:cs="FangSong_GB2312"/>
          <w:szCs w:val="32"/>
          <w:lang w:val="en-US" w:eastAsia="zh-CN"/>
        </w:rPr>
        <w:t>4.13机械臂安全限位‌：配备限位装置，限制机器人运动范围，防止其移动到危险区域。光电保护装置检测人体是否进入机器人运动区域，当检测到人体进入时，立即停止机器人运动。</w:t>
      </w:r>
    </w:p>
    <w:p>
      <w:pPr>
        <w:spacing w:line="560" w:lineRule="exact"/>
        <w:ind w:firstLine="640" w:firstLineChars="200"/>
        <w:jc w:val="both"/>
        <w:rPr>
          <w:rFonts w:hint="default" w:ascii="FangSong_GB2312" w:hAnsi="FangSong_GB2312" w:eastAsia="FangSong_GB2312" w:cs="FangSong_GB2312"/>
          <w:szCs w:val="32"/>
          <w:lang w:val="en-US"/>
        </w:rPr>
      </w:pPr>
      <w:r>
        <w:rPr>
          <w:rFonts w:hint="default" w:ascii="FangSong_GB2312" w:hAnsi="FangSong_GB2312" w:eastAsia="FangSong_GB2312" w:cs="FangSong_GB2312"/>
          <w:szCs w:val="32"/>
          <w:lang w:val="en-US" w:eastAsia="zh-CN"/>
        </w:rPr>
        <w:t>4.14鼓励研发单位及企业配置更多安全保障措施，确保室内喷涂机器人使用过程中的安全性。</w:t>
      </w:r>
    </w:p>
    <w:p>
      <w:pPr>
        <w:spacing w:line="560" w:lineRule="exact"/>
        <w:jc w:val="center"/>
        <w:rPr>
          <w:rFonts w:hint="eastAsia" w:ascii="方正中等线_GBK" w:hAnsi="方正中等线_GBK" w:eastAsia="方正中等线_GBK" w:cs="方正中等线_GBK"/>
          <w:b/>
          <w:bCs/>
          <w:szCs w:val="32"/>
        </w:rPr>
      </w:pPr>
    </w:p>
    <w:p>
      <w:pPr>
        <w:spacing w:line="560" w:lineRule="exact"/>
        <w:jc w:val="center"/>
        <w:rPr>
          <w:rFonts w:hint="eastAsia" w:ascii="方正中等线_GBK" w:hAnsi="方正中等线_GBK" w:eastAsia="方正中等线_GBK" w:cs="方正中等线_GBK"/>
          <w:b/>
          <w:bCs/>
          <w:szCs w:val="32"/>
        </w:rPr>
      </w:pPr>
      <w:bookmarkStart w:id="19" w:name="_Toc175813238"/>
      <w:r>
        <w:rPr>
          <w:rFonts w:hint="eastAsia" w:ascii="方正中等线_GBK" w:hAnsi="方正中等线_GBK" w:eastAsia="方正中等线_GBK" w:cs="方正中等线_GBK"/>
          <w:b/>
          <w:bCs/>
          <w:szCs w:val="32"/>
        </w:rPr>
        <w:t>5  机械租赁/购置</w:t>
      </w:r>
      <w:bookmarkEnd w:id="19"/>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5.1 企业租赁/购置的室内喷涂机器人应符合本指引第4.1条的规定，并附有制造厂家出具的关于产品适用智能化技术标准。</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5.2 企业租赁/购置室内喷涂机器人，应充分考虑建筑工地安全条件，适当选择较高的安全配置，提升设备本质安全。</w:t>
      </w:r>
    </w:p>
    <w:p>
      <w:pPr>
        <w:pStyle w:val="2"/>
        <w:ind w:left="640" w:firstLine="640"/>
        <w:rPr>
          <w:rFonts w:hint="eastAsia" w:ascii="FangSong_GB2312" w:hAnsi="FangSong_GB2312" w:eastAsia="FangSong_GB2312" w:cs="FangSong_GB2312"/>
          <w:szCs w:val="32"/>
        </w:rPr>
      </w:pPr>
    </w:p>
    <w:p>
      <w:pPr>
        <w:spacing w:line="560" w:lineRule="exact"/>
        <w:jc w:val="center"/>
        <w:rPr>
          <w:rFonts w:hint="eastAsia" w:ascii="方正中等线_GBK" w:hAnsi="方正中等线_GBK" w:eastAsia="方正中等线_GBK" w:cs="方正中等线_GBK"/>
          <w:b/>
          <w:bCs/>
          <w:szCs w:val="32"/>
        </w:rPr>
      </w:pPr>
      <w:bookmarkStart w:id="20" w:name="_Toc175813243"/>
      <w:r>
        <w:rPr>
          <w:rFonts w:hint="eastAsia" w:ascii="方正中等线_GBK" w:hAnsi="方正中等线_GBK" w:eastAsia="方正中等线_GBK" w:cs="方正中等线_GBK"/>
          <w:b/>
          <w:bCs/>
          <w:szCs w:val="32"/>
        </w:rPr>
        <w:t>6  检测</w:t>
      </w:r>
      <w:bookmarkEnd w:id="20"/>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6.1 机器人检验检测机构在按现行检测标准对室内喷涂机器人进行常规项目检测同时，还应对智能控制部分进行补充检测，该部分检测内容应包含设备适用的相关标准及产品设计功能和指标。</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6.2 机器人检验检测机构应是由国家市场监督管理总局批准建设的质检中心，应具备国家水准的CMA、CNAS等检测资质。</w:t>
      </w:r>
    </w:p>
    <w:p>
      <w:pPr>
        <w:pStyle w:val="2"/>
        <w:ind w:left="640" w:firstLine="640"/>
        <w:rPr>
          <w:rFonts w:hint="eastAsia" w:ascii="FangSong_GB2312" w:hAnsi="FangSong_GB2312" w:eastAsia="FangSong_GB2312" w:cs="FangSong_GB2312"/>
          <w:szCs w:val="32"/>
        </w:rPr>
      </w:pPr>
    </w:p>
    <w:p>
      <w:pPr>
        <w:spacing w:line="560" w:lineRule="exact"/>
        <w:jc w:val="center"/>
        <w:rPr>
          <w:rFonts w:hint="eastAsia" w:ascii="方正中等线_GBK" w:hAnsi="方正中等线_GBK" w:eastAsia="方正中等线_GBK" w:cs="方正中等线_GBK"/>
          <w:b/>
          <w:bCs/>
          <w:szCs w:val="32"/>
        </w:rPr>
      </w:pPr>
      <w:bookmarkStart w:id="21" w:name="_Toc175813244"/>
      <w:r>
        <w:rPr>
          <w:rFonts w:hint="eastAsia" w:ascii="方正中等线_GBK" w:hAnsi="方正中等线_GBK" w:eastAsia="方正中等线_GBK" w:cs="方正中等线_GBK"/>
          <w:b/>
          <w:bCs/>
          <w:szCs w:val="32"/>
        </w:rPr>
        <w:t>7  使用与维护</w:t>
      </w:r>
      <w:bookmarkEnd w:id="21"/>
    </w:p>
    <w:p>
      <w:pPr>
        <w:spacing w:line="560" w:lineRule="exact"/>
        <w:rPr>
          <w:rFonts w:hint="eastAsia" w:ascii="FangSong_GB2312" w:hAnsi="FangSong_GB2312" w:eastAsia="FangSong_GB2312" w:cs="FangSong_GB2312"/>
          <w:szCs w:val="32"/>
        </w:rPr>
      </w:pPr>
    </w:p>
    <w:p>
      <w:pPr>
        <w:pStyle w:val="49"/>
        <w:spacing w:before="0" w:beforeAutospacing="0" w:after="0" w:afterAutospacing="0" w:line="560" w:lineRule="exact"/>
        <w:jc w:val="center"/>
        <w:rPr>
          <w:rFonts w:hint="eastAsia" w:ascii="黑体" w:hAnsi="黑体" w:eastAsia="黑体" w:cs="黑体"/>
          <w:b w:val="0"/>
          <w:bCs w:val="0"/>
          <w:sz w:val="32"/>
          <w:szCs w:val="32"/>
        </w:rPr>
      </w:pPr>
      <w:bookmarkStart w:id="22" w:name="_Toc175813246"/>
      <w:r>
        <w:rPr>
          <w:rFonts w:hint="eastAsia" w:ascii="黑体" w:hAnsi="黑体" w:eastAsia="黑体" w:cs="黑体"/>
          <w:b w:val="0"/>
          <w:bCs w:val="0"/>
          <w:sz w:val="32"/>
          <w:szCs w:val="32"/>
        </w:rPr>
        <w:t>7.1 使用管理</w:t>
      </w:r>
      <w:bookmarkEnd w:id="22"/>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 喷涂施工临时用电应符合现行行业标准《施工现场临时用电安全技术规范》的规定。</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7.1.2 施工前应编制专项施工方案，并经审批后方可实施。</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7.1.3 室内喷涂机器人应由具备专业资质的操作人员进行喷涂作业，操作人员施工前应进行安全技术交底和三级教育，并做好相关记录（可参照本指引附录A、附录B填写）。</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7.1.4 机器人进场前应组织相关人员进行全面检查，确保各系统正常运转后，方可进场作业（可参照本指引附录C填写）。</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7.1.5 喷涂施工前，应对机器人进行试运行，确保机器人正常运转后，方可开始作业，并形成可追溯记录（可参照本指引附录D填写）。</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7.1.6 施工单位应按照喷涂机器人厂家的要求委托具备资质的单位进行定期检查。</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7.1.7 喷涂机器人作业前，应清理环境障碍物及可能造成危险的物品。工作场地应无杂物和积水，喷涂机器人作业前灰浆、钢筋头等地面临时凸起物应清理干净。</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7.1.8 现场应设置满足机器人设备进出的通道，确保通行道路畅通无阻，且工作现场照明设施齐全。</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7.1.9 需喷涂的墙面、顶棚（含吊顶和石膏线）、飘窗等应完成两遍腻子刮涂和打磨，基层质量应符合现行国家标准《建筑装饰装修工程质量验收规范》的相关规定及工程设计要求；存在的质量缺陷应已整改完成，喷涂前需对喷涂部位进行清灰，以满足室内喷涂条件。</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7.1.10 喷涂前应做好已完工序的成品保护，包括地砖、门窗、厨卫门洞及开关面板等。</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7.1.11 使用机器人喷涂前，应按照工程设计要求和喷涂机器人产品使用说明书要求进行涂料调配，未用完的涂料应密封保存，不得泄露或溢出，涂饰材料应存放在专用库房。</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7.1.12 操作人员应佩戴相关安全和劳保用具后方可进行作业，严禁佩戴首饰及挂件。</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7.1.13 机器人作业时，操作人员应在设备危险范围外进行操作，必要时配备防毒面具等防护工具。</w:t>
      </w:r>
    </w:p>
    <w:p>
      <w:pPr>
        <w:spacing w:line="560" w:lineRule="exact"/>
        <w:ind w:firstLine="640" w:firstLineChars="200"/>
        <w:jc w:val="both"/>
        <w:rPr>
          <w:rFonts w:hint="eastAsia" w:ascii="FangSong_GB2312" w:hAnsi="FangSong_GB2312" w:eastAsia="FangSong_GB2312" w:cs="FangSong_GB2312"/>
          <w:color w:val="FF0000"/>
          <w:szCs w:val="32"/>
        </w:rPr>
      </w:pPr>
      <w:r>
        <w:rPr>
          <w:rFonts w:hint="eastAsia" w:ascii="FangSong_GB2312" w:hAnsi="FangSong_GB2312" w:eastAsia="FangSong_GB2312" w:cs="FangSong_GB2312"/>
          <w:szCs w:val="32"/>
        </w:rPr>
        <w:t xml:space="preserve">7.1.14 </w:t>
      </w:r>
      <w:r>
        <w:rPr>
          <w:rFonts w:hint="eastAsia" w:ascii="FangSong_GB2312" w:hAnsi="FangSong_GB2312" w:eastAsia="FangSong_GB2312" w:cs="FangSong_GB2312"/>
          <w:color w:val="000000" w:themeColor="text1"/>
          <w:szCs w:val="32"/>
          <w14:textFill>
            <w14:solidFill>
              <w14:schemeClr w14:val="tx1"/>
            </w14:solidFill>
          </w14:textFill>
        </w:rPr>
        <w:t>在设备运转过程中，即使机器人看似已停止，也可能是因等待启动信号而处于即将动作的状态。因此，即便在这种状态下，也应将机器人视为正在动作中。</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7.1.15</w:t>
      </w:r>
      <w:r>
        <w:rPr>
          <w:rFonts w:hint="eastAsia" w:ascii="FangSong_GB2312" w:hAnsi="FangSong_GB2312" w:eastAsia="FangSong_GB2312" w:cs="FangSong_GB2312"/>
          <w:color w:val="FF0000"/>
          <w:szCs w:val="32"/>
        </w:rPr>
        <w:t xml:space="preserve"> </w:t>
      </w:r>
      <w:r>
        <w:rPr>
          <w:rFonts w:hint="eastAsia" w:ascii="FangSong_GB2312" w:hAnsi="FangSong_GB2312" w:eastAsia="FangSong_GB2312" w:cs="FangSong_GB2312"/>
          <w:szCs w:val="32"/>
        </w:rPr>
        <w:t>机器人无法施工的区域或涂刷缺陷点位，应由人工进行补涂，人工补涂区域与机器人施工区域的接缝处应保持一致，无明显差异。</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7.1.16 使用喷涂机器人应满足</w:t>
      </w:r>
      <w:r>
        <w:rPr>
          <w:rFonts w:hint="eastAsia" w:ascii="FangSong_GB2312" w:hAnsi="FangSong_GB2312" w:eastAsia="FangSong_GB2312" w:cs="FangSong_GB2312"/>
          <w:szCs w:val="32"/>
          <w:lang w:val="en-US" w:eastAsia="zh-CN"/>
        </w:rPr>
        <w:t>现行的</w:t>
      </w:r>
      <w:r>
        <w:rPr>
          <w:rFonts w:hint="eastAsia" w:ascii="FangSong_GB2312" w:hAnsi="FangSong_GB2312" w:eastAsia="FangSong_GB2312" w:cs="FangSong_GB2312"/>
          <w:szCs w:val="32"/>
          <w:lang w:eastAsia="zh-CN"/>
        </w:rPr>
        <w:t>《绿色施工管理规程》</w:t>
      </w:r>
      <w:r>
        <w:rPr>
          <w:rFonts w:hint="eastAsia" w:ascii="FangSong_GB2312" w:hAnsi="FangSong_GB2312" w:eastAsia="FangSong_GB2312" w:cs="FangSong_GB2312"/>
          <w:szCs w:val="32"/>
          <w:lang w:val="en-US" w:eastAsia="zh-CN"/>
        </w:rPr>
        <w:t>及其他</w:t>
      </w:r>
      <w:r>
        <w:rPr>
          <w:rFonts w:hint="eastAsia" w:ascii="FangSong_GB2312" w:hAnsi="FangSong_GB2312" w:eastAsia="FangSong_GB2312" w:cs="FangSong_GB2312"/>
          <w:szCs w:val="32"/>
        </w:rPr>
        <w:t>相关文件的要求。</w:t>
      </w:r>
    </w:p>
    <w:p>
      <w:pPr>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7.1.17 机器人使用完成后要对喷涂作业系统进行泄压操作。</w:t>
      </w:r>
    </w:p>
    <w:p>
      <w:pPr>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 xml:space="preserve">7.1.18 </w:t>
      </w:r>
      <w:bookmarkStart w:id="23" w:name="_Toc175813247"/>
      <w:r>
        <w:rPr>
          <w:rFonts w:hint="eastAsia" w:ascii="FangSong_GB2312" w:hAnsi="FangSong_GB2312" w:eastAsia="FangSong_GB2312" w:cs="FangSong_GB2312"/>
          <w:szCs w:val="32"/>
        </w:rPr>
        <w:t>使用喷涂机器人的防火措施要求应满足以下要求：</w:t>
      </w:r>
    </w:p>
    <w:p>
      <w:pPr>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（1）在工作现场应配备适当的灭火器材，如干粉灭火器、二氧化碳灭火器等，操作人员应接受灭火器使用培训，以确保能够迅速有效地应对初期火灾。</w:t>
      </w:r>
    </w:p>
    <w:p>
      <w:pPr>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（2）禁止在易燃物品附近进行喷涂作业。</w:t>
      </w:r>
    </w:p>
    <w:p>
      <w:pPr>
        <w:spacing w:line="560" w:lineRule="exact"/>
        <w:ind w:firstLine="640" w:firstLineChars="200"/>
        <w:rPr>
          <w:rFonts w:hint="eastAsia" w:ascii="FangSong_GB2312" w:hAnsi="FangSong_GB2312" w:eastAsia="FangSong_GB2312" w:cs="FangSong_GB2312"/>
          <w:szCs w:val="32"/>
        </w:rPr>
      </w:pPr>
      <w:bookmarkStart w:id="24" w:name="_Hlk180593565"/>
      <w:r>
        <w:rPr>
          <w:rFonts w:hint="eastAsia" w:ascii="FangSong_GB2312" w:hAnsi="FangSong_GB2312" w:eastAsia="FangSong_GB2312" w:cs="FangSong_GB2312"/>
          <w:szCs w:val="32"/>
        </w:rPr>
        <w:t>（3）溶剂型涂饰材料存放地点必须有防火措施，并应满足国家有关的消防要求。</w:t>
      </w:r>
    </w:p>
    <w:p>
      <w:pPr>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（4）使用可燃性溶剂时应有消防和防爆措施，并严禁明火。</w:t>
      </w:r>
      <w:bookmarkEnd w:id="24"/>
    </w:p>
    <w:p>
      <w:pPr>
        <w:pStyle w:val="2"/>
        <w:ind w:left="640" w:firstLine="640"/>
      </w:pPr>
    </w:p>
    <w:p>
      <w:pPr>
        <w:pStyle w:val="49"/>
        <w:spacing w:before="0" w:beforeAutospacing="0" w:after="0" w:afterAutospacing="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7.2 </w:t>
      </w:r>
      <w:bookmarkStart w:id="25" w:name="_Hlk172271285"/>
      <w:r>
        <w:rPr>
          <w:rFonts w:hint="eastAsia" w:ascii="黑体" w:hAnsi="黑体" w:eastAsia="黑体" w:cs="黑体"/>
          <w:b w:val="0"/>
          <w:bCs w:val="0"/>
          <w:sz w:val="32"/>
          <w:szCs w:val="32"/>
        </w:rPr>
        <w:t>检查、维修和保养</w:t>
      </w:r>
      <w:bookmarkEnd w:id="23"/>
      <w:bookmarkEnd w:id="25"/>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7.2.1 室内喷涂机器人进行检查和维保前，应符合上述7.1.4条和7.1.5条的相关要求。</w:t>
      </w:r>
    </w:p>
    <w:p>
      <w:pPr>
        <w:spacing w:line="560" w:lineRule="exact"/>
        <w:ind w:firstLine="640" w:firstLineChars="200"/>
        <w:jc w:val="both"/>
        <w:rPr>
          <w:rFonts w:ascii="FangSong_GB2312" w:hAnsi="FangSong_GB2312" w:eastAsia="FangSong_GB2312" w:cs="FangSong_GB2312"/>
          <w:szCs w:val="32"/>
        </w:rPr>
      </w:pPr>
      <w:r>
        <w:rPr>
          <w:rFonts w:hint="eastAsia" w:ascii="FangSong_GB2312" w:hAnsi="FangSong_GB2312" w:eastAsia="FangSong_GB2312" w:cs="FangSong_GB2312"/>
          <w:szCs w:val="32"/>
        </w:rPr>
        <w:t>7.2.2 室内喷涂机器人应由具备专业资质的维保人员进行清洗、维护和保养</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7.2.3 维修时，如需临时用电，应符合现行标准《施工现场临时用电安全技术规范》的相关规定。在危险区域内进行检修或通电测试时，必须采取相应的安全防护措施，以确保操作安全。</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7.2.4 维修保养时，应切断设备电源，并在主开关旁张贴禁止使用的警告标志，同时将机器人储存在适当的仓库中。</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7.2.5 喷涂机器人检修时，应确保喷涂作业系统已完成泄压操作，以防止意外风险。</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7.2.6 维保工作中，对于磨损或损坏程度超出室内喷涂机器人产品使用说明书要求的部件，应及时进行维修或更换。</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7.2.7 喷涂机器人装配过程中，应禁止磕碰和划伤各类零件。</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7.2.8 电池长期搁置不用时，应根据机器人厂家说明进行适当电量储存，并定期进行完整的充放电，以确保电池处于最佳状态。</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7.2.9 应避免扔掷、敲击或摔落搬运机器人电池，以防损坏电芯并减少安全隐患。</w:t>
      </w:r>
    </w:p>
    <w:p>
      <w:pPr>
        <w:snapToGrid w:val="0"/>
        <w:spacing w:line="560" w:lineRule="exact"/>
        <w:ind w:firstLine="640" w:firstLineChars="200"/>
        <w:rPr>
          <w:rFonts w:hint="eastAsia" w:ascii="FangSong_GB2312" w:hAnsi="FangSong_GB2312" w:eastAsia="FangSong_GB2312" w:cs="FangSong_GB2312"/>
          <w:szCs w:val="32"/>
        </w:rPr>
      </w:pPr>
      <w:r>
        <w:rPr>
          <w:rFonts w:hint="eastAsia" w:ascii="FangSong_GB2312" w:hAnsi="FangSong_GB2312" w:eastAsia="FangSong_GB2312" w:cs="FangSong_GB2312"/>
          <w:szCs w:val="32"/>
        </w:rPr>
        <w:t>7.2.10 机器人应避免与易燃、易爆、易腐蚀等有害物品存放在一起，并远离火源及热源。同时，应防止日晒、雨淋、水浸、剧烈撞击和振动。</w:t>
      </w:r>
    </w:p>
    <w:p>
      <w:pPr>
        <w:spacing w:line="560" w:lineRule="exact"/>
        <w:rPr>
          <w:rFonts w:hint="eastAsia" w:ascii="FangSong_GB2312" w:hAnsi="FangSong_GB2312" w:eastAsia="FangSong_GB2312" w:cs="FangSong_GB2312"/>
          <w:szCs w:val="32"/>
        </w:rPr>
      </w:pPr>
    </w:p>
    <w:p>
      <w:pPr>
        <w:pStyle w:val="49"/>
        <w:spacing w:before="0" w:beforeAutospacing="0" w:after="0" w:afterAutospacing="0" w:line="560" w:lineRule="exact"/>
        <w:jc w:val="center"/>
        <w:rPr>
          <w:rFonts w:hint="eastAsia" w:ascii="黑体" w:hAnsi="黑体" w:eastAsia="黑体" w:cs="黑体"/>
          <w:b w:val="0"/>
          <w:bCs w:val="0"/>
          <w:sz w:val="32"/>
          <w:szCs w:val="32"/>
        </w:rPr>
      </w:pPr>
      <w:bookmarkStart w:id="26" w:name="_Toc175813248"/>
      <w:r>
        <w:rPr>
          <w:rFonts w:hint="eastAsia" w:ascii="黑体" w:hAnsi="黑体" w:eastAsia="黑体" w:cs="黑体"/>
          <w:b w:val="0"/>
          <w:bCs w:val="0"/>
          <w:sz w:val="32"/>
          <w:szCs w:val="32"/>
        </w:rPr>
        <w:t xml:space="preserve">7.3 </w:t>
      </w:r>
      <w:bookmarkStart w:id="27" w:name="_Hlk172271291"/>
      <w:r>
        <w:rPr>
          <w:rFonts w:hint="eastAsia" w:ascii="黑体" w:hAnsi="黑体" w:eastAsia="黑体" w:cs="黑体"/>
          <w:b w:val="0"/>
          <w:bCs w:val="0"/>
          <w:sz w:val="32"/>
          <w:szCs w:val="32"/>
        </w:rPr>
        <w:t>监测与监控</w:t>
      </w:r>
      <w:bookmarkEnd w:id="26"/>
      <w:bookmarkEnd w:id="27"/>
    </w:p>
    <w:p>
      <w:pPr>
        <w:spacing w:line="560" w:lineRule="exact"/>
        <w:rPr>
          <w:rFonts w:hint="eastAsia" w:ascii="FangSong_GB2312" w:hAnsi="FangSong_GB2312" w:eastAsia="FangSong_GB2312" w:cs="FangSong_GB2312"/>
          <w:szCs w:val="32"/>
        </w:rPr>
      </w:pP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7.3.1 监测范围应覆盖所有在现场投入使用的室内喷涂机器人。</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7.3.2 监测项目应涵盖室内喷涂机器人的喷涂作业系统、移动系统、导航与识别系统、操作系统、电气系统以及安全保障系统。</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7.3.3 应制定合理的监测监控措施，明确监测范围、监测项目、监测方法、监测频率、预警值及控制值。</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7.3.4 机器人在运行时，应安排足够数量的专门培训并考核合格的人员，实时监控设备的运行状态。</w:t>
      </w:r>
    </w:p>
    <w:p>
      <w:pPr>
        <w:spacing w:line="560" w:lineRule="exact"/>
        <w:ind w:firstLine="640" w:firstLineChars="200"/>
        <w:jc w:val="both"/>
        <w:rPr>
          <w:rFonts w:hint="eastAsia" w:ascii="FangSong_GB2312" w:hAnsi="FangSong_GB2312" w:eastAsia="FangSong_GB2312" w:cs="FangSong_GB2312"/>
          <w:szCs w:val="32"/>
        </w:rPr>
      </w:pPr>
      <w:r>
        <w:rPr>
          <w:rFonts w:hint="eastAsia" w:ascii="FangSong_GB2312" w:hAnsi="FangSong_GB2312" w:eastAsia="FangSong_GB2312" w:cs="FangSong_GB2312"/>
          <w:szCs w:val="32"/>
        </w:rPr>
        <w:t>7.3.5 监测数据应实时记录并存档，定期分析、排查问题、采取针对性措施。</w:t>
      </w:r>
    </w:p>
    <w:p>
      <w:pPr>
        <w:rPr>
          <w:rFonts w:hint="eastAsia" w:ascii="FangSong_GB2312" w:hAnsi="FangSong_GB2312" w:eastAsia="FangSong_GB2312" w:cs="FangSong_GB2312"/>
          <w:szCs w:val="32"/>
        </w:rPr>
      </w:pPr>
      <w:r>
        <w:rPr>
          <w:rFonts w:hint="eastAsia" w:ascii="FangSong_GB2312" w:hAnsi="FangSong_GB2312" w:eastAsia="FangSong_GB2312" w:cs="FangSong_GB2312"/>
          <w:szCs w:val="32"/>
        </w:rPr>
        <w:br w:type="page"/>
      </w:r>
    </w:p>
    <w:p>
      <w:pPr>
        <w:pStyle w:val="51"/>
        <w:spacing w:before="0" w:after="0"/>
        <w:rPr>
          <w:rFonts w:hint="eastAsia" w:ascii="FangSong_GB2312" w:hAnsi="FangSong_GB2312" w:eastAsia="FangSong_GB2312" w:cs="FangSong_GB2312"/>
          <w:b w:val="0"/>
          <w:sz w:val="32"/>
          <w:szCs w:val="32"/>
          <w14:ligatures w14:val="none"/>
        </w:rPr>
      </w:pPr>
      <w:bookmarkStart w:id="28" w:name="_Toc175813249"/>
      <w:r>
        <w:rPr>
          <w:rFonts w:hint="eastAsia" w:ascii="黑体" w:hAnsi="黑体" w:eastAsia="黑体" w:cs="黑体"/>
          <w:b w:val="0"/>
          <w:kern w:val="0"/>
          <w:sz w:val="32"/>
          <w:szCs w:val="32"/>
          <w14:ligatures w14:val="none"/>
        </w:rPr>
        <w:t>附录A</w:t>
      </w:r>
      <w:r>
        <w:rPr>
          <w:rFonts w:hint="eastAsia" w:ascii="FangSong_GB2312" w:hAnsi="FangSong_GB2312" w:eastAsia="FangSong_GB2312" w:cs="FangSong_GB2312"/>
          <w:b w:val="0"/>
          <w:sz w:val="32"/>
          <w:szCs w:val="32"/>
          <w14:ligatures w14:val="none"/>
        </w:rPr>
        <w:t xml:space="preserve"> </w:t>
      </w:r>
      <w:r>
        <w:rPr>
          <w:rFonts w:hint="eastAsia" w:ascii="FangSong_GB2312" w:hAnsi="FangSong_GB2312" w:eastAsia="FangSong_GB2312" w:cs="FangSong_GB2312"/>
          <w:b w:val="0"/>
          <w:color w:val="FFFFFF" w:themeColor="background1"/>
          <w:sz w:val="32"/>
          <w:szCs w:val="32"/>
          <w14:textFill>
            <w14:solidFill>
              <w14:schemeClr w14:val="bg1"/>
            </w14:solidFill>
          </w14:textFill>
          <w14:ligatures w14:val="none"/>
        </w:rPr>
        <w:t>安全技术交底记录</w:t>
      </w:r>
      <w:bookmarkEnd w:id="28"/>
    </w:p>
    <w:p>
      <w:pPr>
        <w:spacing w:after="240" w:afterLines="100"/>
        <w:jc w:val="center"/>
        <w:rPr>
          <w:rFonts w:hint="eastAsia" w:ascii="宋体" w:hAnsi="宋体" w:eastAsia="宋体" w:cs="宋体"/>
          <w:b/>
          <w:bCs/>
          <w:sz w:val="18"/>
          <w:szCs w:val="18"/>
        </w:rPr>
      </w:pPr>
      <w:r>
        <w:rPr>
          <w:rFonts w:hint="eastAsia" w:ascii="方正小标宋简体" w:hAnsi="宋体" w:eastAsia="方正小标宋简体" w:cs="宋体"/>
          <w:bCs/>
          <w:sz w:val="36"/>
          <w:szCs w:val="36"/>
          <w14:ligatures w14:val="none"/>
        </w:rPr>
        <w:t>安全技术交底记录</w:t>
      </w:r>
    </w:p>
    <w:tbl>
      <w:tblPr>
        <w:tblStyle w:val="2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58"/>
        <w:gridCol w:w="1032"/>
        <w:gridCol w:w="1680"/>
        <w:gridCol w:w="390"/>
        <w:gridCol w:w="1335"/>
        <w:gridCol w:w="10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Merge w:val="restart"/>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工程名称</w:t>
            </w:r>
          </w:p>
        </w:tc>
        <w:tc>
          <w:tcPr>
            <w:tcW w:w="2712" w:type="dxa"/>
            <w:gridSpan w:val="2"/>
            <w:vMerge w:val="restart"/>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编号</w:t>
            </w:r>
          </w:p>
        </w:tc>
        <w:tc>
          <w:tcPr>
            <w:tcW w:w="2363"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Merge w:val="continue"/>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2712" w:type="dxa"/>
            <w:gridSpan w:val="2"/>
            <w:vMerge w:val="continue"/>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交底日期</w:t>
            </w:r>
          </w:p>
        </w:tc>
        <w:tc>
          <w:tcPr>
            <w:tcW w:w="2363"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施工单位</w:t>
            </w:r>
          </w:p>
        </w:tc>
        <w:tc>
          <w:tcPr>
            <w:tcW w:w="2712"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分项工程名称</w:t>
            </w:r>
          </w:p>
        </w:tc>
        <w:tc>
          <w:tcPr>
            <w:tcW w:w="2363"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交底提要</w:t>
            </w:r>
          </w:p>
        </w:tc>
        <w:tc>
          <w:tcPr>
            <w:tcW w:w="2712"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页数</w:t>
            </w:r>
          </w:p>
        </w:tc>
        <w:tc>
          <w:tcPr>
            <w:tcW w:w="2363"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共  页，第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0" w:hRule="atLeast"/>
        </w:trPr>
        <w:tc>
          <w:tcPr>
            <w:tcW w:w="8217" w:type="dxa"/>
            <w:gridSpan w:val="8"/>
          </w:tcPr>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交底内容：</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1、编制依据</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2、施工准备</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3、技术参数</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4、施工工艺</w:t>
            </w:r>
          </w:p>
          <w:p>
            <w:pPr>
              <w:keepNext w:val="0"/>
              <w:keepLines w:val="0"/>
              <w:suppressLineNumbers w:val="0"/>
              <w:spacing w:before="0" w:beforeAutospacing="0" w:after="160" w:afterAutospacing="0" w:line="320" w:lineRule="exact"/>
              <w:ind w:left="0" w:right="0"/>
              <w:rPr>
                <w:rFonts w:hint="default" w:ascii="宋体" w:hAnsi="宋体" w:eastAsia="宋体" w:cs="宋体"/>
                <w:sz w:val="24"/>
                <w14:ligatures w14:val="none"/>
              </w:rPr>
            </w:pPr>
            <w:r>
              <w:rPr>
                <w:rFonts w:hint="eastAsia" w:ascii="宋体" w:hAnsi="宋体" w:eastAsia="宋体" w:cs="宋体"/>
                <w:sz w:val="24"/>
                <w14:ligatures w14:val="none"/>
              </w:rPr>
              <w:t>5、作业位置</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6、成品保护</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7、施工质量保证措施</w:t>
            </w:r>
          </w:p>
          <w:p>
            <w:pPr>
              <w:keepNext w:val="0"/>
              <w:keepLines w:val="0"/>
              <w:suppressLineNumbers w:val="0"/>
              <w:spacing w:before="0" w:beforeAutospacing="0" w:after="160" w:afterAutospacing="0" w:line="320" w:lineRule="exact"/>
              <w:ind w:left="0" w:right="0"/>
              <w:rPr>
                <w:rFonts w:hint="eastAsia" w:ascii="宋体" w:hAnsi="宋体" w:eastAsia="宋体" w:cs="宋体"/>
                <w:sz w:val="24"/>
                <w14:ligatures w14:val="none"/>
              </w:rPr>
            </w:pPr>
            <w:r>
              <w:rPr>
                <w:rFonts w:hint="eastAsia" w:ascii="宋体" w:hAnsi="宋体" w:eastAsia="宋体" w:cs="宋体"/>
                <w:sz w:val="24"/>
                <w14:ligatures w14:val="none"/>
              </w:rPr>
              <w:t>8、施工安全保证措施</w:t>
            </w:r>
          </w:p>
          <w:p>
            <w:pPr>
              <w:keepNext w:val="0"/>
              <w:keepLines w:val="0"/>
              <w:suppressLineNumbers w:val="0"/>
              <w:spacing w:before="0" w:beforeAutospacing="0" w:after="160" w:afterAutospacing="0" w:line="320" w:lineRule="exact"/>
              <w:ind w:left="0" w:right="0"/>
              <w:rPr>
                <w:rFonts w:hint="default"/>
                <w:sz w:val="18"/>
                <w:szCs w:val="18"/>
              </w:rPr>
            </w:pPr>
            <w:r>
              <w:rPr>
                <w:rFonts w:hint="eastAsia" w:ascii="宋体" w:hAnsi="宋体" w:eastAsia="宋体" w:cs="宋体"/>
                <w:sz w:val="24"/>
                <w14:ligatures w14:val="none"/>
              </w:rPr>
              <w:t>9、应急救援措施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9" w:type="dxa"/>
            <w:vMerge w:val="restart"/>
            <w:textDirection w:val="tbRlV"/>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签字栏</w:t>
            </w:r>
          </w:p>
        </w:tc>
        <w:tc>
          <w:tcPr>
            <w:tcW w:w="1590" w:type="dxa"/>
            <w:gridSpan w:val="2"/>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交底人</w:t>
            </w:r>
          </w:p>
        </w:tc>
        <w:tc>
          <w:tcPr>
            <w:tcW w:w="2070" w:type="dxa"/>
            <w:gridSpan w:val="2"/>
            <w:vAlign w:val="center"/>
          </w:tcPr>
          <w:p>
            <w:pPr>
              <w:keepNext w:val="0"/>
              <w:keepLines w:val="0"/>
              <w:suppressLineNumbers w:val="0"/>
              <w:spacing w:before="0" w:beforeAutospacing="0" w:after="160" w:afterAutospacing="0" w:line="320" w:lineRule="exact"/>
              <w:ind w:left="0" w:right="0"/>
              <w:jc w:val="both"/>
              <w:rPr>
                <w:rFonts w:hint="eastAsia" w:ascii="宋体" w:hAnsi="宋体" w:eastAsia="宋体" w:cs="宋体"/>
                <w:sz w:val="24"/>
                <w14:ligatures w14:val="none"/>
              </w:rPr>
            </w:pPr>
          </w:p>
        </w:tc>
        <w:tc>
          <w:tcPr>
            <w:tcW w:w="1440" w:type="dxa"/>
            <w:gridSpan w:val="2"/>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审核人</w:t>
            </w:r>
          </w:p>
        </w:tc>
        <w:tc>
          <w:tcPr>
            <w:tcW w:w="2258" w:type="dxa"/>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9" w:type="dxa"/>
            <w:vMerge w:val="continue"/>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p>
        </w:tc>
        <w:tc>
          <w:tcPr>
            <w:tcW w:w="1590" w:type="dxa"/>
            <w:gridSpan w:val="2"/>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接受交底人</w:t>
            </w:r>
          </w:p>
        </w:tc>
        <w:tc>
          <w:tcPr>
            <w:tcW w:w="5768" w:type="dxa"/>
            <w:gridSpan w:val="5"/>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p>
        </w:tc>
      </w:tr>
    </w:tbl>
    <w:p>
      <w:pPr>
        <w:rPr>
          <w:rFonts w:hint="eastAsia" w:ascii="黑体" w:hAnsi="黑体" w:eastAsia="黑体" w:cs="黑体"/>
          <w:kern w:val="0"/>
          <w:szCs w:val="32"/>
          <w14:ligatures w14:val="none"/>
        </w:rPr>
      </w:pPr>
      <w:bookmarkStart w:id="29" w:name="_Toc171693046"/>
      <w:bookmarkStart w:id="30" w:name="_Toc171692840"/>
      <w:bookmarkStart w:id="31" w:name="_Toc175813250"/>
      <w:bookmarkStart w:id="32" w:name="_Toc171693225"/>
      <w:r>
        <w:rPr>
          <w:rFonts w:hint="eastAsia" w:ascii="黑体" w:hAnsi="黑体" w:eastAsia="黑体" w:cs="黑体"/>
          <w:kern w:val="0"/>
          <w:szCs w:val="32"/>
          <w14:ligatures w14:val="none"/>
        </w:rPr>
        <w:br w:type="page"/>
      </w:r>
    </w:p>
    <w:p>
      <w:pPr>
        <w:pStyle w:val="51"/>
        <w:spacing w:before="0" w:after="0"/>
        <w:rPr>
          <w:rFonts w:hint="eastAsia" w:ascii="FangSong_GB2312" w:hAnsi="FangSong_GB2312" w:eastAsia="FangSong_GB2312" w:cs="FangSong_GB2312"/>
          <w:b w:val="0"/>
          <w:sz w:val="32"/>
          <w:szCs w:val="32"/>
          <w14:ligatures w14:val="none"/>
        </w:rPr>
      </w:pPr>
      <w:r>
        <w:rPr>
          <w:rFonts w:hint="eastAsia" w:ascii="黑体" w:hAnsi="黑体" w:eastAsia="黑体" w:cs="黑体"/>
          <w:b w:val="0"/>
          <w:kern w:val="0"/>
          <w:sz w:val="32"/>
          <w:szCs w:val="32"/>
          <w14:ligatures w14:val="none"/>
        </w:rPr>
        <w:t>附录B</w:t>
      </w:r>
      <w:r>
        <w:rPr>
          <w:rFonts w:hint="eastAsia" w:ascii="FangSong_GB2312" w:hAnsi="FangSong_GB2312" w:eastAsia="FangSong_GB2312" w:cs="FangSong_GB2312"/>
          <w:b w:val="0"/>
          <w:sz w:val="32"/>
          <w:szCs w:val="32"/>
          <w14:ligatures w14:val="none"/>
        </w:rPr>
        <w:t xml:space="preserve"> </w:t>
      </w:r>
      <w:r>
        <w:rPr>
          <w:rFonts w:hint="eastAsia" w:ascii="FangSong_GB2312" w:hAnsi="FangSong_GB2312" w:eastAsia="FangSong_GB2312" w:cs="FangSong_GB2312"/>
          <w:b w:val="0"/>
          <w:color w:val="FFFFFF" w:themeColor="background1"/>
          <w:sz w:val="32"/>
          <w:szCs w:val="32"/>
          <w14:textFill>
            <w14:solidFill>
              <w14:schemeClr w14:val="bg1"/>
            </w14:solidFill>
          </w14:textFill>
          <w14:ligatures w14:val="none"/>
        </w:rPr>
        <w:t>安全技术交底记录</w:t>
      </w:r>
    </w:p>
    <w:p>
      <w:pPr>
        <w:spacing w:after="240" w:afterLines="100"/>
        <w:jc w:val="center"/>
        <w:rPr>
          <w:rFonts w:hint="eastAsia" w:ascii="宋体" w:hAnsi="宋体" w:eastAsia="宋体" w:cs="宋体"/>
          <w:b/>
          <w:bCs/>
          <w:sz w:val="18"/>
          <w:szCs w:val="18"/>
        </w:rPr>
      </w:pPr>
      <w:r>
        <w:rPr>
          <w:rFonts w:hint="eastAsia" w:ascii="方正小标宋简体" w:hAnsi="宋体" w:eastAsia="方正小标宋简体" w:cs="宋体"/>
          <w:bCs/>
          <w:sz w:val="36"/>
          <w:szCs w:val="36"/>
          <w14:ligatures w14:val="none"/>
        </w:rPr>
        <w:t>安全教育记录</w:t>
      </w:r>
    </w:p>
    <w:tbl>
      <w:tblPr>
        <w:tblStyle w:val="2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58"/>
        <w:gridCol w:w="2712"/>
        <w:gridCol w:w="172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Merge w:val="restart"/>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工程名称</w:t>
            </w:r>
          </w:p>
        </w:tc>
        <w:tc>
          <w:tcPr>
            <w:tcW w:w="2712" w:type="dxa"/>
            <w:vMerge w:val="restart"/>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日期</w:t>
            </w:r>
          </w:p>
        </w:tc>
        <w:tc>
          <w:tcPr>
            <w:tcW w:w="2363"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Merge w:val="continue"/>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2712" w:type="dxa"/>
            <w:vMerge w:val="continue"/>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主讲人</w:t>
            </w:r>
          </w:p>
        </w:tc>
        <w:tc>
          <w:tcPr>
            <w:tcW w:w="2363"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7" w:type="dxa"/>
            <w:gridSpan w:val="2"/>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施工单位</w:t>
            </w:r>
          </w:p>
        </w:tc>
        <w:tc>
          <w:tcPr>
            <w:tcW w:w="2712"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c>
          <w:tcPr>
            <w:tcW w:w="1725"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分项工程名称</w:t>
            </w:r>
          </w:p>
        </w:tc>
        <w:tc>
          <w:tcPr>
            <w:tcW w:w="2363" w:type="dxa"/>
            <w:vAlign w:val="center"/>
          </w:tcPr>
          <w:p>
            <w:pPr>
              <w:keepNext w:val="0"/>
              <w:keepLines w:val="0"/>
              <w:suppressLineNumbers w:val="0"/>
              <w:spacing w:before="0" w:beforeAutospacing="0" w:after="160" w:afterAutospacing="0" w:line="240" w:lineRule="exact"/>
              <w:ind w:left="0" w:right="0"/>
              <w:jc w:val="center"/>
              <w:rPr>
                <w:rFonts w:hint="eastAsia" w:ascii="宋体" w:hAnsi="宋体" w:eastAsia="宋体" w:cs="宋体"/>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0" w:hRule="atLeast"/>
        </w:trPr>
        <w:tc>
          <w:tcPr>
            <w:tcW w:w="8217" w:type="dxa"/>
            <w:gridSpan w:val="5"/>
          </w:tcPr>
          <w:p>
            <w:pPr>
              <w:keepNext w:val="0"/>
              <w:keepLines w:val="0"/>
              <w:suppressLineNumbers w:val="0"/>
              <w:spacing w:before="0" w:beforeAutospacing="0" w:after="160" w:afterAutospacing="0" w:line="320" w:lineRule="exact"/>
              <w:ind w:left="0" w:right="0"/>
              <w:rPr>
                <w:rFonts w:hint="default" w:eastAsia="宋体"/>
                <w:sz w:val="18"/>
                <w:szCs w:val="18"/>
              </w:rPr>
            </w:pPr>
            <w:r>
              <w:rPr>
                <w:rFonts w:hint="eastAsia" w:ascii="宋体" w:hAnsi="宋体" w:eastAsia="宋体" w:cs="宋体"/>
                <w:sz w:val="24"/>
                <w14:ligatures w14:val="none"/>
              </w:rPr>
              <w:t>安全教育内容：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59" w:type="dxa"/>
            <w:textDirection w:val="tbRlV"/>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r>
              <w:rPr>
                <w:rFonts w:hint="eastAsia" w:ascii="宋体" w:hAnsi="宋体" w:eastAsia="宋体" w:cs="宋体"/>
                <w:sz w:val="24"/>
                <w14:ligatures w14:val="none"/>
              </w:rPr>
              <w:t>参加对象（签名）</w:t>
            </w:r>
          </w:p>
        </w:tc>
        <w:tc>
          <w:tcPr>
            <w:tcW w:w="7358" w:type="dxa"/>
            <w:gridSpan w:val="4"/>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宋体"/>
                <w:sz w:val="24"/>
                <w14:ligatures w14:val="none"/>
              </w:rPr>
            </w:pPr>
          </w:p>
        </w:tc>
      </w:tr>
    </w:tbl>
    <w:p>
      <w:pPr>
        <w:rPr>
          <w:rFonts w:hint="eastAsia" w:ascii="黑体" w:hAnsi="黑体" w:eastAsia="黑体" w:cs="黑体"/>
          <w:kern w:val="0"/>
          <w:szCs w:val="32"/>
          <w14:ligatures w14:val="none"/>
        </w:rPr>
      </w:pPr>
      <w:r>
        <w:rPr>
          <w:rFonts w:hint="eastAsia" w:ascii="黑体" w:hAnsi="黑体" w:eastAsia="黑体" w:cs="黑体"/>
          <w:kern w:val="0"/>
          <w:szCs w:val="32"/>
          <w14:ligatures w14:val="none"/>
        </w:rPr>
        <w:br w:type="page"/>
      </w:r>
    </w:p>
    <w:bookmarkEnd w:id="29"/>
    <w:bookmarkEnd w:id="30"/>
    <w:bookmarkEnd w:id="31"/>
    <w:bookmarkEnd w:id="32"/>
    <w:p>
      <w:pPr>
        <w:pStyle w:val="51"/>
        <w:spacing w:before="0" w:after="0"/>
        <w:rPr>
          <w:rFonts w:hint="eastAsia" w:ascii="FangSong_GB2312" w:hAnsi="FangSong_GB2312" w:eastAsia="FangSong_GB2312" w:cs="FangSong_GB2312"/>
          <w:b w:val="0"/>
          <w:sz w:val="32"/>
          <w:szCs w:val="32"/>
          <w14:ligatures w14:val="none"/>
        </w:rPr>
      </w:pPr>
      <w:bookmarkStart w:id="33" w:name="_Toc175813251"/>
      <w:bookmarkStart w:id="34" w:name="_Toc171693226"/>
      <w:bookmarkStart w:id="35" w:name="_Toc171692841"/>
      <w:bookmarkStart w:id="36" w:name="_Toc171693047"/>
      <w:r>
        <w:rPr>
          <w:rFonts w:hint="eastAsia" w:ascii="黑体" w:hAnsi="黑体" w:eastAsia="黑体" w:cs="黑体"/>
          <w:b w:val="0"/>
          <w:kern w:val="0"/>
          <w:sz w:val="32"/>
          <w:szCs w:val="32"/>
          <w14:ligatures w14:val="none"/>
        </w:rPr>
        <w:t>附录C</w:t>
      </w:r>
      <w:bookmarkStart w:id="37" w:name="_Toc21428"/>
      <w:r>
        <w:rPr>
          <w:rFonts w:hint="eastAsia" w:ascii="FangSong_GB2312" w:hAnsi="FangSong_GB2312" w:eastAsia="FangSong_GB2312" w:cs="FangSong_GB2312"/>
          <w:b w:val="0"/>
          <w:sz w:val="32"/>
          <w:szCs w:val="32"/>
          <w14:ligatures w14:val="none"/>
        </w:rPr>
        <w:t xml:space="preserve">  </w:t>
      </w:r>
      <w:r>
        <w:rPr>
          <w:rFonts w:hint="eastAsia" w:ascii="FangSong_GB2312" w:hAnsi="FangSong_GB2312" w:eastAsia="FangSong_GB2312" w:cs="FangSong_GB2312"/>
          <w:b w:val="0"/>
          <w:color w:val="FFFFFF" w:themeColor="background1"/>
          <w:sz w:val="32"/>
          <w:szCs w:val="32"/>
          <w14:textFill>
            <w14:solidFill>
              <w14:schemeClr w14:val="bg1"/>
            </w14:solidFill>
          </w14:textFill>
          <w14:ligatures w14:val="none"/>
        </w:rPr>
        <w:t>喷涂机器人进场检查表</w:t>
      </w:r>
      <w:bookmarkEnd w:id="33"/>
    </w:p>
    <w:p>
      <w:pPr>
        <w:spacing w:after="240" w:afterLines="100"/>
        <w:jc w:val="center"/>
        <w:rPr>
          <w:rFonts w:hint="eastAsia" w:ascii="方正小标宋简体" w:hAnsi="宋体" w:eastAsia="方正小标宋简体" w:cs="宋体"/>
          <w:bCs/>
          <w:sz w:val="36"/>
          <w:szCs w:val="36"/>
          <w14:ligatures w14:val="none"/>
        </w:rPr>
      </w:pPr>
      <w:r>
        <w:rPr>
          <w:rFonts w:hint="eastAsia" w:ascii="方正小标宋简体" w:hAnsi="宋体" w:eastAsia="方正小标宋简体" w:cs="宋体"/>
          <w:bCs/>
          <w:sz w:val="36"/>
          <w:szCs w:val="36"/>
          <w14:ligatures w14:val="none"/>
        </w:rPr>
        <w:t>进场检查、验收表</w:t>
      </w:r>
      <w:bookmarkEnd w:id="34"/>
      <w:bookmarkEnd w:id="35"/>
      <w:bookmarkEnd w:id="36"/>
      <w:bookmarkEnd w:id="37"/>
    </w:p>
    <w:tbl>
      <w:tblPr>
        <w:tblStyle w:val="2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463"/>
        <w:gridCol w:w="1074"/>
        <w:gridCol w:w="1518"/>
        <w:gridCol w:w="1701"/>
        <w:gridCol w:w="62"/>
        <w:gridCol w:w="1355"/>
        <w:gridCol w:w="1560"/>
        <w:gridCol w:w="15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gridSpan w:val="2"/>
            <w:tcBorders>
              <w:top w:val="single" w:color="auto" w:sz="4" w:space="0"/>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工程名称</w:t>
            </w:r>
          </w:p>
        </w:tc>
        <w:tc>
          <w:tcPr>
            <w:tcW w:w="1518"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p>
        </w:tc>
        <w:tc>
          <w:tcPr>
            <w:tcW w:w="1701"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安装位置</w:t>
            </w:r>
          </w:p>
        </w:tc>
        <w:tc>
          <w:tcPr>
            <w:tcW w:w="1417" w:type="dxa"/>
            <w:gridSpan w:val="2"/>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p>
        </w:tc>
        <w:tc>
          <w:tcPr>
            <w:tcW w:w="1560"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出厂编号</w:t>
            </w:r>
          </w:p>
        </w:tc>
        <w:tc>
          <w:tcPr>
            <w:tcW w:w="1509" w:type="dxa"/>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gridSpan w:val="2"/>
            <w:tcBorders>
              <w:top w:val="single" w:color="auto" w:sz="4" w:space="0"/>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生产厂家</w:t>
            </w:r>
          </w:p>
        </w:tc>
        <w:tc>
          <w:tcPr>
            <w:tcW w:w="1518"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p>
        </w:tc>
        <w:tc>
          <w:tcPr>
            <w:tcW w:w="1701"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出厂日期</w:t>
            </w:r>
          </w:p>
        </w:tc>
        <w:tc>
          <w:tcPr>
            <w:tcW w:w="1417" w:type="dxa"/>
            <w:gridSpan w:val="2"/>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p>
        </w:tc>
        <w:tc>
          <w:tcPr>
            <w:tcW w:w="1560"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规格型号</w:t>
            </w:r>
          </w:p>
        </w:tc>
        <w:tc>
          <w:tcPr>
            <w:tcW w:w="1509" w:type="dxa"/>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tcBorders>
              <w:top w:val="single" w:color="auto" w:sz="4" w:space="0"/>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序号</w:t>
            </w:r>
          </w:p>
        </w:tc>
        <w:tc>
          <w:tcPr>
            <w:tcW w:w="1074"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项目</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检查内容</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b/>
                <w:bCs/>
                <w:sz w:val="18"/>
                <w:szCs w:val="18"/>
              </w:rPr>
            </w:pPr>
            <w:r>
              <w:rPr>
                <w:rFonts w:hint="eastAsia" w:ascii="宋体" w:hAnsi="宋体" w:eastAsia="宋体"/>
                <w:b/>
                <w:bCs/>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restart"/>
            <w:tcBorders>
              <w:top w:val="single" w:color="auto" w:sz="4" w:space="0"/>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r>
              <w:rPr>
                <w:rFonts w:hint="eastAsia" w:ascii="宋体" w:hAnsi="宋体" w:eastAsia="宋体"/>
                <w:sz w:val="18"/>
                <w:szCs w:val="18"/>
              </w:rPr>
              <w:t>1</w:t>
            </w:r>
          </w:p>
        </w:tc>
        <w:tc>
          <w:tcPr>
            <w:tcW w:w="1074" w:type="dxa"/>
            <w:vMerge w:val="restart"/>
            <w:tcBorders>
              <w:top w:val="single" w:color="auto" w:sz="4" w:space="0"/>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r>
              <w:rPr>
                <w:rFonts w:hint="eastAsia" w:ascii="宋体" w:hAnsi="宋体" w:eastAsia="宋体"/>
                <w:sz w:val="18"/>
                <w:szCs w:val="18"/>
              </w:rPr>
              <w:t>功能检查</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金属结构外观无明显变形、锈蚀</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正常运行显示功能（声、光）完好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故障报警功能（声、光）完好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机械臂安装牢固、收放运行顺畅</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喷涂动作流畅</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45"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雾化压力值及雾化效果稳定（动态、静态）</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给料桶余料称重显示</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底盘功能正常，万向轮移动流畅</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导航、避障功能正常</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开机自检功能正常</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restart"/>
            <w:tcBorders>
              <w:top w:val="single" w:color="auto" w:sz="4" w:space="0"/>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r>
              <w:rPr>
                <w:rFonts w:hint="eastAsia" w:ascii="宋体" w:hAnsi="宋体" w:eastAsia="宋体"/>
                <w:sz w:val="18"/>
                <w:szCs w:val="18"/>
              </w:rPr>
              <w:t>2</w:t>
            </w:r>
          </w:p>
        </w:tc>
        <w:tc>
          <w:tcPr>
            <w:tcW w:w="1074" w:type="dxa"/>
            <w:vMerge w:val="restart"/>
            <w:tcBorders>
              <w:top w:val="single" w:color="auto" w:sz="4" w:space="0"/>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r>
              <w:rPr>
                <w:rFonts w:hint="eastAsia" w:ascii="宋体" w:hAnsi="宋体" w:eastAsia="宋体"/>
                <w:sz w:val="18"/>
                <w:szCs w:val="18"/>
              </w:rPr>
              <w:t>安全检查</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紧急制动功能完好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安全标志完好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电柜内接头无松动，线路无破损、老化</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电缆管夹无明显滑移，管夹经过称重传感器且有防脱装置</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安全锁齐全，灵敏可靠</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1074" w:type="dxa"/>
            <w:vMerge w:val="continue"/>
            <w:tcBorders>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安全装置和安全设施完好齐全</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tcBorders>
              <w:top w:val="single" w:color="auto" w:sz="4" w:space="0"/>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r>
              <w:rPr>
                <w:rFonts w:hint="eastAsia" w:ascii="宋体" w:hAnsi="宋体" w:eastAsia="宋体"/>
                <w:sz w:val="18"/>
                <w:szCs w:val="18"/>
              </w:rPr>
              <w:t>3</w:t>
            </w:r>
          </w:p>
        </w:tc>
        <w:tc>
          <w:tcPr>
            <w:tcW w:w="1074" w:type="dxa"/>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sz w:val="18"/>
                <w:szCs w:val="18"/>
              </w:rPr>
            </w:pPr>
            <w:r>
              <w:rPr>
                <w:rFonts w:hint="eastAsia" w:ascii="宋体" w:hAnsi="宋体" w:eastAsia="宋体"/>
                <w:sz w:val="18"/>
                <w:szCs w:val="18"/>
              </w:rPr>
              <w:t>软件测试</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操作软件安装、使用、卸载测试功能完好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4818" w:type="dxa"/>
            <w:gridSpan w:val="5"/>
            <w:vMerge w:val="restart"/>
            <w:tcBorders>
              <w:top w:val="single" w:color="auto" w:sz="4" w:space="0"/>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 xml:space="preserve">机器人设备企业意见：                  </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技术负责人（签字）：       （盖章）</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年    月    日</w:t>
            </w:r>
          </w:p>
        </w:tc>
        <w:tc>
          <w:tcPr>
            <w:tcW w:w="4437" w:type="dxa"/>
            <w:gridSpan w:val="4"/>
            <w:tcBorders>
              <w:top w:val="single" w:color="auto" w:sz="4" w:space="0"/>
              <w:left w:val="single" w:color="auto" w:sz="6"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使用单位意见：</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项目技术负责人或机械员</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（签字）：        （盖章）</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4818" w:type="dxa"/>
            <w:gridSpan w:val="5"/>
            <w:vMerge w:val="continue"/>
            <w:tcBorders>
              <w:top w:val="single" w:color="auto" w:sz="4" w:space="0"/>
              <w:left w:val="single" w:color="auto" w:sz="4" w:space="0"/>
              <w:bottom w:val="single" w:color="auto" w:sz="4"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tc>
        <w:tc>
          <w:tcPr>
            <w:tcW w:w="4437"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监理单位意见：</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总监或专业监理工程师</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 xml:space="preserve">（签字）：        （盖章）                               </w:t>
            </w:r>
          </w:p>
          <w:p>
            <w:pPr>
              <w:pStyle w:val="54"/>
              <w:keepNext w:val="0"/>
              <w:keepLines w:val="0"/>
              <w:suppressLineNumbers w:val="0"/>
              <w:spacing w:before="0" w:beforeAutospacing="0" w:after="160" w:afterAutospacing="0" w:line="276" w:lineRule="auto"/>
              <w:ind w:left="0" w:right="0"/>
              <w:rPr>
                <w:rFonts w:hint="eastAsia" w:ascii="宋体" w:hAnsi="宋体" w:eastAsia="宋体"/>
                <w:sz w:val="18"/>
                <w:szCs w:val="18"/>
              </w:rPr>
            </w:pPr>
            <w:r>
              <w:rPr>
                <w:rFonts w:hint="eastAsia" w:ascii="宋体" w:hAnsi="宋体" w:eastAsia="宋体"/>
                <w:sz w:val="18"/>
                <w:szCs w:val="18"/>
              </w:rPr>
              <w:t xml:space="preserve">                     年    月    日</w:t>
            </w:r>
          </w:p>
        </w:tc>
      </w:tr>
    </w:tbl>
    <w:p>
      <w:r>
        <w:rPr>
          <w:rFonts w:hint="eastAsia"/>
        </w:rPr>
        <w:br w:type="page"/>
      </w:r>
    </w:p>
    <w:p>
      <w:pPr>
        <w:pStyle w:val="51"/>
        <w:spacing w:before="0" w:after="0"/>
        <w:rPr>
          <w:rFonts w:hint="eastAsia" w:ascii="FangSong_GB2312" w:hAnsi="FangSong_GB2312" w:eastAsia="FangSong_GB2312" w:cs="FangSong_GB2312"/>
          <w:b w:val="0"/>
          <w:color w:val="FFFFFF" w:themeColor="background1"/>
          <w:sz w:val="32"/>
          <w:szCs w:val="32"/>
          <w14:textFill>
            <w14:solidFill>
              <w14:schemeClr w14:val="bg1"/>
            </w14:solidFill>
          </w14:textFill>
          <w14:ligatures w14:val="none"/>
        </w:rPr>
      </w:pPr>
      <w:bookmarkStart w:id="38" w:name="_Toc175813252"/>
      <w:bookmarkStart w:id="39" w:name="_Toc171693048"/>
      <w:bookmarkStart w:id="40" w:name="_Toc171692842"/>
      <w:bookmarkStart w:id="41" w:name="_Toc171693227"/>
      <w:r>
        <w:rPr>
          <w:rFonts w:hint="eastAsia" w:ascii="黑体" w:hAnsi="黑体" w:eastAsia="黑体" w:cs="黑体"/>
          <w:b w:val="0"/>
          <w:kern w:val="0"/>
          <w:sz w:val="32"/>
          <w:szCs w:val="32"/>
          <w14:ligatures w14:val="none"/>
        </w:rPr>
        <w:t>附录D</w:t>
      </w:r>
      <w:bookmarkStart w:id="42" w:name="_Toc640"/>
      <w:r>
        <w:rPr>
          <w:rFonts w:hint="eastAsia" w:ascii="黑体" w:hAnsi="黑体" w:eastAsia="黑体" w:cs="黑体"/>
          <w:b w:val="0"/>
          <w:kern w:val="0"/>
          <w:sz w:val="32"/>
          <w:szCs w:val="32"/>
          <w14:ligatures w14:val="none"/>
        </w:rPr>
        <w:t xml:space="preserve"> </w:t>
      </w:r>
      <w:r>
        <w:rPr>
          <w:rFonts w:hint="eastAsia" w:ascii="FangSong_GB2312" w:hAnsi="FangSong_GB2312" w:eastAsia="FangSong_GB2312" w:cs="FangSong_GB2312"/>
          <w:b w:val="0"/>
          <w:sz w:val="32"/>
          <w:szCs w:val="32"/>
          <w14:ligatures w14:val="none"/>
        </w:rPr>
        <w:t xml:space="preserve"> </w:t>
      </w:r>
      <w:r>
        <w:rPr>
          <w:rFonts w:hint="eastAsia" w:ascii="FangSong_GB2312" w:hAnsi="FangSong_GB2312" w:eastAsia="FangSong_GB2312" w:cs="FangSong_GB2312"/>
          <w:b w:val="0"/>
          <w:color w:val="FFFFFF" w:themeColor="background1"/>
          <w:sz w:val="32"/>
          <w:szCs w:val="32"/>
          <w14:textFill>
            <w14:solidFill>
              <w14:schemeClr w14:val="bg1"/>
            </w14:solidFill>
          </w14:textFill>
          <w14:ligatures w14:val="none"/>
        </w:rPr>
        <w:t>喷涂机器人安装自检表</w:t>
      </w:r>
      <w:bookmarkEnd w:id="38"/>
    </w:p>
    <w:p>
      <w:pPr>
        <w:spacing w:after="240" w:afterLines="100"/>
        <w:jc w:val="center"/>
        <w:rPr>
          <w:rFonts w:hint="eastAsia" w:ascii="方正小标宋简体" w:hAnsi="宋体" w:eastAsia="方正小标宋简体" w:cs="宋体"/>
          <w:bCs/>
          <w:sz w:val="36"/>
          <w:szCs w:val="36"/>
          <w14:ligatures w14:val="none"/>
        </w:rPr>
      </w:pPr>
      <w:r>
        <w:rPr>
          <w:rFonts w:hint="eastAsia" w:ascii="方正小标宋简体" w:hAnsi="宋体" w:eastAsia="方正小标宋简体" w:cs="宋体"/>
          <w:bCs/>
          <w:sz w:val="36"/>
          <w:szCs w:val="36"/>
          <w14:ligatures w14:val="none"/>
        </w:rPr>
        <w:t>日常检查、维护表</w:t>
      </w:r>
      <w:bookmarkEnd w:id="39"/>
      <w:bookmarkEnd w:id="40"/>
      <w:bookmarkEnd w:id="41"/>
      <w:bookmarkEnd w:id="42"/>
    </w:p>
    <w:tbl>
      <w:tblPr>
        <w:tblStyle w:val="22"/>
        <w:tblW w:w="84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276"/>
        <w:gridCol w:w="1739"/>
        <w:gridCol w:w="954"/>
        <w:gridCol w:w="571"/>
        <w:gridCol w:w="290"/>
        <w:gridCol w:w="10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工程名称</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525"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使用日期</w:t>
            </w:r>
          </w:p>
        </w:tc>
        <w:tc>
          <w:tcPr>
            <w:tcW w:w="2507" w:type="dxa"/>
            <w:gridSpan w:val="3"/>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施工企业</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525"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使用单位</w:t>
            </w:r>
          </w:p>
        </w:tc>
        <w:tc>
          <w:tcPr>
            <w:tcW w:w="2507" w:type="dxa"/>
            <w:gridSpan w:val="3"/>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生产厂家</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525"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规格型号与编号</w:t>
            </w:r>
          </w:p>
        </w:tc>
        <w:tc>
          <w:tcPr>
            <w:tcW w:w="2507" w:type="dxa"/>
            <w:gridSpan w:val="3"/>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检查结果代号说明</w:t>
            </w:r>
          </w:p>
        </w:tc>
        <w:tc>
          <w:tcPr>
            <w:tcW w:w="7047" w:type="dxa"/>
            <w:gridSpan w:val="7"/>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“√”=合格  “○”=整改后合格  “×”=不合格  “/”=无此项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名称</w:t>
            </w: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检查项目</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要求</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检查结果</w:t>
            </w: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资料</w:t>
            </w: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安全技术交底记录、安全教育记录</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内容及签章齐全</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喷涂机器人进场检查、验收表</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内容及签章齐全</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4" w:space="0"/>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地面</w:t>
            </w:r>
          </w:p>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和防护措</w:t>
            </w:r>
          </w:p>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施</w:t>
            </w: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3</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机器人安装位置地面处理</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地面平整、坚实、无明显倾斜，距离墙面6m范围内无材料、绿化树、垃圾等</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4</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安全防护区</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喷涂、升降范围地面设置安全警戒区，上下无交叉作业情况</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5</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外电防护</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与架空线最小距离符合规定</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6</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运行通道</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喷涂机器人运行通道无障碍物，与建筑物的间隙符合要求</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4" w:space="0"/>
              <w:left w:val="single" w:color="auto" w:sz="4" w:space="0"/>
              <w:right w:val="single" w:color="auto" w:sz="4" w:space="0"/>
            </w:tcBorders>
            <w:vAlign w:val="center"/>
          </w:tcPr>
          <w:p>
            <w:pPr>
              <w:pStyle w:val="54"/>
              <w:keepNext w:val="0"/>
              <w:keepLines w:val="0"/>
              <w:suppressLineNumbers w:val="0"/>
              <w:tabs>
                <w:tab w:val="left" w:pos="231"/>
              </w:tabs>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操作前安全检查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7</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电源开关</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开关送断电正常，确认旋转方向及到位情况</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tabs>
                <w:tab w:val="left" w:pos="231"/>
              </w:tabs>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8</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急停按钮</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按压和旋转松开动作正常，触点正常通断</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tabs>
                <w:tab w:val="left" w:pos="231"/>
              </w:tabs>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9</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电池线路、线缆状态</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线路不应出现破损、老化、接头松动、积尘、折弯等现象</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10</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电柜门</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密封良好，不存在杂物、积灰、浸液等</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11</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安全防护传感器</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触碰传感器，机器人能正常响应，无脱落安装不到位现象</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12</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功能设备</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喷涂机本体设备功能完整性，喷涂系统管道严禁出现破损、裂纹、断裂现象</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13</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电池设备</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确保机器人电池、无线控制终端电量充足，所配备的备用电池电量充足或提前做好充电准备。</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功能检查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14</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金属结构</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外观无明显变形、锈蚀</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15</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万向轮</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万向轮安装完好，功能正常</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16</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机械臂</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sz w:val="18"/>
                <w:szCs w:val="18"/>
              </w:rPr>
              <w:t>机械臂安装牢固、收放运行顺畅</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17</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给料桶、喷头、喷涂雾化装置</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配备齐全完好，清洗干净，无杂质，无堵塞，接头牢固无松动</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18</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移动轨迹</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按预设轨迹行走，无偏移</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19</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避障功能</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无碰撞</w:t>
            </w:r>
          </w:p>
        </w:tc>
        <w:tc>
          <w:tcPr>
            <w:tcW w:w="1095"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6" w:space="0"/>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定期维护</w:t>
            </w:r>
          </w:p>
        </w:tc>
        <w:tc>
          <w:tcPr>
            <w:tcW w:w="709"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20</w:t>
            </w:r>
          </w:p>
        </w:tc>
        <w:tc>
          <w:tcPr>
            <w:tcW w:w="1276"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电柜风扇</w:t>
            </w:r>
          </w:p>
        </w:tc>
        <w:tc>
          <w:tcPr>
            <w:tcW w:w="3554" w:type="dxa"/>
            <w:gridSpan w:val="4"/>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检查污染程度，每月进行清洁</w:t>
            </w:r>
          </w:p>
        </w:tc>
        <w:tc>
          <w:tcPr>
            <w:tcW w:w="1095"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21</w:t>
            </w:r>
          </w:p>
        </w:tc>
        <w:tc>
          <w:tcPr>
            <w:tcW w:w="1276"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喷头</w:t>
            </w:r>
          </w:p>
        </w:tc>
        <w:tc>
          <w:tcPr>
            <w:tcW w:w="3554" w:type="dxa"/>
            <w:gridSpan w:val="4"/>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检查磨损，每月进行密封更换</w:t>
            </w:r>
          </w:p>
        </w:tc>
        <w:tc>
          <w:tcPr>
            <w:tcW w:w="1095"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22</w:t>
            </w:r>
          </w:p>
        </w:tc>
        <w:tc>
          <w:tcPr>
            <w:tcW w:w="1276"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滤芯</w:t>
            </w:r>
          </w:p>
        </w:tc>
        <w:tc>
          <w:tcPr>
            <w:tcW w:w="3554" w:type="dxa"/>
            <w:gridSpan w:val="4"/>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检查污染程度，每月拆装检查清理</w:t>
            </w:r>
          </w:p>
        </w:tc>
        <w:tc>
          <w:tcPr>
            <w:tcW w:w="1095"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其他</w:t>
            </w:r>
          </w:p>
        </w:tc>
        <w:tc>
          <w:tcPr>
            <w:tcW w:w="709"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23</w:t>
            </w:r>
          </w:p>
        </w:tc>
        <w:tc>
          <w:tcPr>
            <w:tcW w:w="1276"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试运行</w:t>
            </w:r>
          </w:p>
        </w:tc>
        <w:tc>
          <w:tcPr>
            <w:tcW w:w="3554" w:type="dxa"/>
            <w:gridSpan w:val="4"/>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各项系统、功能，试运行喷涂正常、无震动、异响、异味等其他异常现象</w:t>
            </w:r>
          </w:p>
        </w:tc>
        <w:tc>
          <w:tcPr>
            <w:tcW w:w="1095"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c>
          <w:tcPr>
            <w:tcW w:w="1122" w:type="dxa"/>
            <w:tcBorders>
              <w:top w:val="single" w:color="auto" w:sz="6" w:space="0"/>
              <w:left w:val="single" w:color="auto" w:sz="6" w:space="0"/>
              <w:bottom w:val="single" w:color="auto" w:sz="6" w:space="0"/>
              <w:right w:val="single" w:color="auto" w:sz="6"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0" w:type="dxa"/>
            <w:gridSpan w:val="9"/>
            <w:tcBorders>
              <w:top w:val="single" w:color="auto" w:sz="6"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合格项数</w:t>
            </w:r>
          </w:p>
        </w:tc>
        <w:tc>
          <w:tcPr>
            <w:tcW w:w="1276" w:type="dxa"/>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jc w:val="center"/>
              <w:rPr>
                <w:rFonts w:hint="eastAsia" w:ascii="宋体" w:hAnsi="宋体" w:eastAsia="宋体" w:cs="宋体"/>
                <w:sz w:val="18"/>
                <w:szCs w:val="18"/>
              </w:rPr>
            </w:pPr>
            <w:r>
              <w:rPr>
                <w:rFonts w:hint="eastAsia" w:ascii="宋体" w:hAnsi="宋体" w:eastAsia="宋体" w:cs="宋体"/>
                <w:sz w:val="18"/>
                <w:szCs w:val="18"/>
              </w:rPr>
              <w:t>不合格项数</w:t>
            </w:r>
          </w:p>
        </w:tc>
        <w:tc>
          <w:tcPr>
            <w:tcW w:w="3078" w:type="dxa"/>
            <w:gridSpan w:val="4"/>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460" w:type="dxa"/>
            <w:gridSpan w:val="9"/>
            <w:tcBorders>
              <w:top w:val="single" w:color="auto" w:sz="4" w:space="0"/>
              <w:left w:val="single" w:color="auto" w:sz="4" w:space="0"/>
              <w:bottom w:val="single" w:color="auto" w:sz="4" w:space="0"/>
              <w:right w:val="single" w:color="auto" w:sz="4" w:space="0"/>
            </w:tcBorders>
          </w:tcPr>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r>
              <w:rPr>
                <w:rFonts w:hint="eastAsia" w:ascii="宋体" w:hAnsi="宋体" w:eastAsia="宋体" w:cs="宋体"/>
                <w:sz w:val="18"/>
                <w:szCs w:val="18"/>
              </w:rPr>
              <w:t>操作单位自检意见：</w:t>
            </w: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both"/>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right"/>
              <w:rPr>
                <w:rFonts w:hint="eastAsia" w:ascii="宋体" w:hAnsi="宋体" w:eastAsia="宋体" w:cs="宋体"/>
                <w:sz w:val="18"/>
                <w:szCs w:val="18"/>
              </w:rPr>
            </w:pPr>
            <w:r>
              <w:rPr>
                <w:rFonts w:hint="eastAsia" w:ascii="宋体" w:hAnsi="宋体" w:eastAsia="宋体" w:cs="宋体"/>
                <w:sz w:val="18"/>
                <w:szCs w:val="18"/>
              </w:rPr>
              <w:t>（项目章）</w:t>
            </w:r>
          </w:p>
          <w:p>
            <w:pPr>
              <w:pStyle w:val="54"/>
              <w:keepNext w:val="0"/>
              <w:keepLines w:val="0"/>
              <w:suppressLineNumbers w:val="0"/>
              <w:spacing w:before="0" w:beforeAutospacing="0" w:after="160" w:afterAutospacing="0" w:line="276" w:lineRule="auto"/>
              <w:ind w:left="0" w:right="0"/>
              <w:jc w:val="right"/>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jc w:val="right"/>
              <w:rPr>
                <w:rFonts w:hint="eastAsia" w:ascii="宋体" w:hAnsi="宋体" w:eastAsia="宋体" w:cs="宋体"/>
                <w:sz w:val="18"/>
                <w:szCs w:val="18"/>
              </w:rPr>
            </w:pPr>
            <w:r>
              <w:rPr>
                <w:rFonts w:hint="eastAsia" w:ascii="宋体" w:hAnsi="宋体" w:eastAsia="宋体" w:cs="宋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参加自检人员</w:t>
            </w:r>
          </w:p>
        </w:tc>
        <w:tc>
          <w:tcPr>
            <w:tcW w:w="7047" w:type="dxa"/>
            <w:gridSpan w:val="7"/>
            <w:tcBorders>
              <w:top w:val="single" w:color="auto" w:sz="4" w:space="0"/>
              <w:left w:val="single" w:color="auto" w:sz="4" w:space="0"/>
              <w:bottom w:val="single" w:color="auto" w:sz="4" w:space="0"/>
              <w:right w:val="single" w:color="auto" w:sz="4" w:space="0"/>
            </w:tcBorders>
            <w:vAlign w:val="center"/>
          </w:tcPr>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操作负责人（签字）：</w:t>
            </w:r>
          </w:p>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p>
          <w:p>
            <w:pPr>
              <w:pStyle w:val="54"/>
              <w:keepNext w:val="0"/>
              <w:keepLines w:val="0"/>
              <w:suppressLineNumbers w:val="0"/>
              <w:spacing w:before="0" w:beforeAutospacing="0" w:after="160" w:afterAutospacing="0" w:line="276" w:lineRule="auto"/>
              <w:ind w:left="0" w:right="0"/>
              <w:rPr>
                <w:rFonts w:hint="eastAsia" w:ascii="宋体" w:hAnsi="宋体" w:eastAsia="宋体" w:cs="宋体"/>
                <w:sz w:val="18"/>
                <w:szCs w:val="18"/>
              </w:rPr>
            </w:pPr>
            <w:r>
              <w:rPr>
                <w:rFonts w:hint="eastAsia" w:ascii="宋体" w:hAnsi="宋体" w:eastAsia="宋体" w:cs="宋体"/>
                <w:sz w:val="18"/>
                <w:szCs w:val="18"/>
              </w:rPr>
              <w:t>安全员（签字）：</w:t>
            </w:r>
          </w:p>
        </w:tc>
      </w:tr>
    </w:tbl>
    <w:p/>
    <w:sectPr>
      <w:pgSz w:w="11906" w:h="16838"/>
      <w:pgMar w:top="1440" w:right="1797" w:bottom="1440" w:left="1797" w:header="851" w:footer="585" w:gutter="0"/>
      <w:pgNumType w:start="1"/>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77B5"/>
    <w:multiLevelType w:val="singleLevel"/>
    <w:tmpl w:val="DFFF77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NzQyMzBjZDJmODBlZjg1NmE1ZmY3MjY1ZThiYjAifQ=="/>
  </w:docVars>
  <w:rsids>
    <w:rsidRoot w:val="00B40A77"/>
    <w:rsid w:val="00010B8F"/>
    <w:rsid w:val="00012C9E"/>
    <w:rsid w:val="0001381D"/>
    <w:rsid w:val="000218A8"/>
    <w:rsid w:val="000218F0"/>
    <w:rsid w:val="00025C66"/>
    <w:rsid w:val="0002734E"/>
    <w:rsid w:val="00033D04"/>
    <w:rsid w:val="00034B72"/>
    <w:rsid w:val="00046E7F"/>
    <w:rsid w:val="00062A35"/>
    <w:rsid w:val="000651BA"/>
    <w:rsid w:val="00066C49"/>
    <w:rsid w:val="00073071"/>
    <w:rsid w:val="000803EF"/>
    <w:rsid w:val="000857BC"/>
    <w:rsid w:val="00091353"/>
    <w:rsid w:val="000915CA"/>
    <w:rsid w:val="000A1642"/>
    <w:rsid w:val="000A6400"/>
    <w:rsid w:val="000B3B6E"/>
    <w:rsid w:val="000B5565"/>
    <w:rsid w:val="000C588E"/>
    <w:rsid w:val="000C5E65"/>
    <w:rsid w:val="000D28B2"/>
    <w:rsid w:val="000D447E"/>
    <w:rsid w:val="000E6DFF"/>
    <w:rsid w:val="000F358A"/>
    <w:rsid w:val="000F3A2F"/>
    <w:rsid w:val="00116221"/>
    <w:rsid w:val="00117495"/>
    <w:rsid w:val="00121500"/>
    <w:rsid w:val="00122A45"/>
    <w:rsid w:val="001235FE"/>
    <w:rsid w:val="00123D18"/>
    <w:rsid w:val="00126012"/>
    <w:rsid w:val="001305B5"/>
    <w:rsid w:val="00140ECD"/>
    <w:rsid w:val="00142933"/>
    <w:rsid w:val="00144731"/>
    <w:rsid w:val="00154164"/>
    <w:rsid w:val="00154B07"/>
    <w:rsid w:val="00161CE3"/>
    <w:rsid w:val="00161E15"/>
    <w:rsid w:val="00165C8F"/>
    <w:rsid w:val="00167D29"/>
    <w:rsid w:val="00170300"/>
    <w:rsid w:val="00170D75"/>
    <w:rsid w:val="00171C9E"/>
    <w:rsid w:val="001A70C4"/>
    <w:rsid w:val="001B1762"/>
    <w:rsid w:val="001B17DF"/>
    <w:rsid w:val="001C36B0"/>
    <w:rsid w:val="001C3FB4"/>
    <w:rsid w:val="001D3258"/>
    <w:rsid w:val="001D798F"/>
    <w:rsid w:val="001E597D"/>
    <w:rsid w:val="001F0AFB"/>
    <w:rsid w:val="001F1466"/>
    <w:rsid w:val="001F23F2"/>
    <w:rsid w:val="001F2B89"/>
    <w:rsid w:val="00220474"/>
    <w:rsid w:val="002219AB"/>
    <w:rsid w:val="00231E78"/>
    <w:rsid w:val="00240DD5"/>
    <w:rsid w:val="0024301A"/>
    <w:rsid w:val="00243484"/>
    <w:rsid w:val="00245A5E"/>
    <w:rsid w:val="00250357"/>
    <w:rsid w:val="00262442"/>
    <w:rsid w:val="0027229B"/>
    <w:rsid w:val="002773EF"/>
    <w:rsid w:val="00277E45"/>
    <w:rsid w:val="00280278"/>
    <w:rsid w:val="00280DC4"/>
    <w:rsid w:val="002821C1"/>
    <w:rsid w:val="00293C07"/>
    <w:rsid w:val="00296F06"/>
    <w:rsid w:val="002A1175"/>
    <w:rsid w:val="002A4303"/>
    <w:rsid w:val="002A6261"/>
    <w:rsid w:val="002A636B"/>
    <w:rsid w:val="002B2CBA"/>
    <w:rsid w:val="002B469B"/>
    <w:rsid w:val="002B4C45"/>
    <w:rsid w:val="002C1744"/>
    <w:rsid w:val="002C284C"/>
    <w:rsid w:val="002C3CC8"/>
    <w:rsid w:val="002C7B40"/>
    <w:rsid w:val="002D3A43"/>
    <w:rsid w:val="002D585B"/>
    <w:rsid w:val="002D5C8E"/>
    <w:rsid w:val="002E0FC5"/>
    <w:rsid w:val="002E487B"/>
    <w:rsid w:val="002E5F1E"/>
    <w:rsid w:val="002F42EB"/>
    <w:rsid w:val="002F5FCD"/>
    <w:rsid w:val="002F66B7"/>
    <w:rsid w:val="00330708"/>
    <w:rsid w:val="003316D2"/>
    <w:rsid w:val="00341FA4"/>
    <w:rsid w:val="00347754"/>
    <w:rsid w:val="0035076E"/>
    <w:rsid w:val="003639D2"/>
    <w:rsid w:val="003665BB"/>
    <w:rsid w:val="00372605"/>
    <w:rsid w:val="00383EED"/>
    <w:rsid w:val="0038599F"/>
    <w:rsid w:val="003A1F49"/>
    <w:rsid w:val="003B27AB"/>
    <w:rsid w:val="003B34D7"/>
    <w:rsid w:val="003B4257"/>
    <w:rsid w:val="003C7419"/>
    <w:rsid w:val="003E43C0"/>
    <w:rsid w:val="003E5F92"/>
    <w:rsid w:val="003E658F"/>
    <w:rsid w:val="003F1A48"/>
    <w:rsid w:val="003F43FE"/>
    <w:rsid w:val="0040059A"/>
    <w:rsid w:val="004157D8"/>
    <w:rsid w:val="004208D1"/>
    <w:rsid w:val="0042574B"/>
    <w:rsid w:val="0043125A"/>
    <w:rsid w:val="00434E87"/>
    <w:rsid w:val="0044132A"/>
    <w:rsid w:val="00441D5E"/>
    <w:rsid w:val="00443883"/>
    <w:rsid w:val="00443BB8"/>
    <w:rsid w:val="00452759"/>
    <w:rsid w:val="00455290"/>
    <w:rsid w:val="00466880"/>
    <w:rsid w:val="004670AF"/>
    <w:rsid w:val="00470192"/>
    <w:rsid w:val="00471106"/>
    <w:rsid w:val="004738EE"/>
    <w:rsid w:val="0047583A"/>
    <w:rsid w:val="00475DCD"/>
    <w:rsid w:val="004805E5"/>
    <w:rsid w:val="00481560"/>
    <w:rsid w:val="00482F42"/>
    <w:rsid w:val="00483C37"/>
    <w:rsid w:val="004878FA"/>
    <w:rsid w:val="00491447"/>
    <w:rsid w:val="0049151D"/>
    <w:rsid w:val="004938F6"/>
    <w:rsid w:val="00496CC8"/>
    <w:rsid w:val="004A020A"/>
    <w:rsid w:val="004A5FCB"/>
    <w:rsid w:val="004A64E1"/>
    <w:rsid w:val="004B071F"/>
    <w:rsid w:val="004B25B5"/>
    <w:rsid w:val="004C1C95"/>
    <w:rsid w:val="004C3705"/>
    <w:rsid w:val="004D04D5"/>
    <w:rsid w:val="004E69DE"/>
    <w:rsid w:val="004E7AC4"/>
    <w:rsid w:val="004F17D5"/>
    <w:rsid w:val="004F3091"/>
    <w:rsid w:val="004F6D0A"/>
    <w:rsid w:val="00502771"/>
    <w:rsid w:val="00503366"/>
    <w:rsid w:val="00506772"/>
    <w:rsid w:val="0050680B"/>
    <w:rsid w:val="005120C6"/>
    <w:rsid w:val="00524C0E"/>
    <w:rsid w:val="00542927"/>
    <w:rsid w:val="00546125"/>
    <w:rsid w:val="00551B38"/>
    <w:rsid w:val="0056377B"/>
    <w:rsid w:val="0056482F"/>
    <w:rsid w:val="0056629D"/>
    <w:rsid w:val="00566CB4"/>
    <w:rsid w:val="0057264C"/>
    <w:rsid w:val="00583893"/>
    <w:rsid w:val="00586C1F"/>
    <w:rsid w:val="00593B22"/>
    <w:rsid w:val="005B411A"/>
    <w:rsid w:val="005B4602"/>
    <w:rsid w:val="005B524E"/>
    <w:rsid w:val="005B5BB6"/>
    <w:rsid w:val="005B5DE1"/>
    <w:rsid w:val="005B70EC"/>
    <w:rsid w:val="005C1098"/>
    <w:rsid w:val="005F354F"/>
    <w:rsid w:val="005F4BC2"/>
    <w:rsid w:val="005F6096"/>
    <w:rsid w:val="005F6291"/>
    <w:rsid w:val="005F62D9"/>
    <w:rsid w:val="005F6FAD"/>
    <w:rsid w:val="00603835"/>
    <w:rsid w:val="00604B8C"/>
    <w:rsid w:val="00613834"/>
    <w:rsid w:val="00615EBE"/>
    <w:rsid w:val="006171A6"/>
    <w:rsid w:val="00620659"/>
    <w:rsid w:val="00620C3B"/>
    <w:rsid w:val="00625981"/>
    <w:rsid w:val="00625BB1"/>
    <w:rsid w:val="0062703E"/>
    <w:rsid w:val="00632A36"/>
    <w:rsid w:val="00633B8A"/>
    <w:rsid w:val="00635B02"/>
    <w:rsid w:val="006400F2"/>
    <w:rsid w:val="006438BB"/>
    <w:rsid w:val="0065267C"/>
    <w:rsid w:val="00652972"/>
    <w:rsid w:val="0065678A"/>
    <w:rsid w:val="00675834"/>
    <w:rsid w:val="00680423"/>
    <w:rsid w:val="00681E03"/>
    <w:rsid w:val="006873B3"/>
    <w:rsid w:val="00690C5F"/>
    <w:rsid w:val="006A1262"/>
    <w:rsid w:val="006A4710"/>
    <w:rsid w:val="006B0278"/>
    <w:rsid w:val="006B11C4"/>
    <w:rsid w:val="006C1EFB"/>
    <w:rsid w:val="006C7106"/>
    <w:rsid w:val="006D7EEE"/>
    <w:rsid w:val="006E19DA"/>
    <w:rsid w:val="006E55E9"/>
    <w:rsid w:val="006E64E9"/>
    <w:rsid w:val="006F1CE0"/>
    <w:rsid w:val="006F6A82"/>
    <w:rsid w:val="0070161C"/>
    <w:rsid w:val="00710DB1"/>
    <w:rsid w:val="00715210"/>
    <w:rsid w:val="0071686F"/>
    <w:rsid w:val="007223A2"/>
    <w:rsid w:val="00732E17"/>
    <w:rsid w:val="007364E1"/>
    <w:rsid w:val="00745EA7"/>
    <w:rsid w:val="007477C8"/>
    <w:rsid w:val="0076762C"/>
    <w:rsid w:val="007700DE"/>
    <w:rsid w:val="0077615C"/>
    <w:rsid w:val="007846DE"/>
    <w:rsid w:val="00793971"/>
    <w:rsid w:val="0079463C"/>
    <w:rsid w:val="007A10C5"/>
    <w:rsid w:val="007A5234"/>
    <w:rsid w:val="007A6A4F"/>
    <w:rsid w:val="007B4209"/>
    <w:rsid w:val="007B6627"/>
    <w:rsid w:val="007C5F48"/>
    <w:rsid w:val="007C6696"/>
    <w:rsid w:val="007C77D0"/>
    <w:rsid w:val="007C7C6E"/>
    <w:rsid w:val="007C7FF4"/>
    <w:rsid w:val="007D1E91"/>
    <w:rsid w:val="007D296E"/>
    <w:rsid w:val="007E1BAD"/>
    <w:rsid w:val="007E21E2"/>
    <w:rsid w:val="007E7D55"/>
    <w:rsid w:val="007F026B"/>
    <w:rsid w:val="007F6C43"/>
    <w:rsid w:val="00805429"/>
    <w:rsid w:val="00815528"/>
    <w:rsid w:val="00824843"/>
    <w:rsid w:val="0082581D"/>
    <w:rsid w:val="008259B9"/>
    <w:rsid w:val="00835A1A"/>
    <w:rsid w:val="0083782F"/>
    <w:rsid w:val="0084083C"/>
    <w:rsid w:val="00844C38"/>
    <w:rsid w:val="00853ACF"/>
    <w:rsid w:val="008759F9"/>
    <w:rsid w:val="00883B19"/>
    <w:rsid w:val="008969A7"/>
    <w:rsid w:val="008A01D5"/>
    <w:rsid w:val="008A4B00"/>
    <w:rsid w:val="008A5CE4"/>
    <w:rsid w:val="008A7DCD"/>
    <w:rsid w:val="008B16E3"/>
    <w:rsid w:val="008B5A1F"/>
    <w:rsid w:val="008D04B6"/>
    <w:rsid w:val="008D79E1"/>
    <w:rsid w:val="008F393D"/>
    <w:rsid w:val="008F529B"/>
    <w:rsid w:val="00900BC6"/>
    <w:rsid w:val="0090421F"/>
    <w:rsid w:val="00916826"/>
    <w:rsid w:val="00925266"/>
    <w:rsid w:val="00925C45"/>
    <w:rsid w:val="00930A78"/>
    <w:rsid w:val="00931345"/>
    <w:rsid w:val="009315CC"/>
    <w:rsid w:val="00932926"/>
    <w:rsid w:val="009361DD"/>
    <w:rsid w:val="00936DB0"/>
    <w:rsid w:val="00944874"/>
    <w:rsid w:val="00945201"/>
    <w:rsid w:val="00947131"/>
    <w:rsid w:val="00960A49"/>
    <w:rsid w:val="0096161D"/>
    <w:rsid w:val="009650A9"/>
    <w:rsid w:val="009664D5"/>
    <w:rsid w:val="0097777B"/>
    <w:rsid w:val="00982C8C"/>
    <w:rsid w:val="00990521"/>
    <w:rsid w:val="009A4A28"/>
    <w:rsid w:val="009B7DB7"/>
    <w:rsid w:val="009D200D"/>
    <w:rsid w:val="009D55B5"/>
    <w:rsid w:val="009D6936"/>
    <w:rsid w:val="009D6BF4"/>
    <w:rsid w:val="009E54C3"/>
    <w:rsid w:val="009E6C21"/>
    <w:rsid w:val="009E6E3A"/>
    <w:rsid w:val="009F0E9F"/>
    <w:rsid w:val="009F2234"/>
    <w:rsid w:val="00A052A9"/>
    <w:rsid w:val="00A167A2"/>
    <w:rsid w:val="00A21880"/>
    <w:rsid w:val="00A26951"/>
    <w:rsid w:val="00A3112C"/>
    <w:rsid w:val="00A425BE"/>
    <w:rsid w:val="00A50393"/>
    <w:rsid w:val="00A51F73"/>
    <w:rsid w:val="00A53FC8"/>
    <w:rsid w:val="00A54D9E"/>
    <w:rsid w:val="00A61C9D"/>
    <w:rsid w:val="00A628AB"/>
    <w:rsid w:val="00A66FFA"/>
    <w:rsid w:val="00A70B7C"/>
    <w:rsid w:val="00A72A65"/>
    <w:rsid w:val="00A854F1"/>
    <w:rsid w:val="00A905B1"/>
    <w:rsid w:val="00A92494"/>
    <w:rsid w:val="00A9692B"/>
    <w:rsid w:val="00AA2400"/>
    <w:rsid w:val="00AA3183"/>
    <w:rsid w:val="00AA3FAE"/>
    <w:rsid w:val="00AB472B"/>
    <w:rsid w:val="00AC751C"/>
    <w:rsid w:val="00AD1E0E"/>
    <w:rsid w:val="00AD5B67"/>
    <w:rsid w:val="00AE02E7"/>
    <w:rsid w:val="00AE469C"/>
    <w:rsid w:val="00B031DD"/>
    <w:rsid w:val="00B152C0"/>
    <w:rsid w:val="00B22E4A"/>
    <w:rsid w:val="00B23C45"/>
    <w:rsid w:val="00B26E21"/>
    <w:rsid w:val="00B26F90"/>
    <w:rsid w:val="00B30165"/>
    <w:rsid w:val="00B40A77"/>
    <w:rsid w:val="00B4207B"/>
    <w:rsid w:val="00B42511"/>
    <w:rsid w:val="00B45631"/>
    <w:rsid w:val="00B50EB9"/>
    <w:rsid w:val="00B5540E"/>
    <w:rsid w:val="00B75095"/>
    <w:rsid w:val="00B75BF2"/>
    <w:rsid w:val="00B81D0C"/>
    <w:rsid w:val="00B954B6"/>
    <w:rsid w:val="00BA0AD8"/>
    <w:rsid w:val="00BA1C9E"/>
    <w:rsid w:val="00BB27BC"/>
    <w:rsid w:val="00BB285B"/>
    <w:rsid w:val="00BB315D"/>
    <w:rsid w:val="00BC044E"/>
    <w:rsid w:val="00BC06F2"/>
    <w:rsid w:val="00BC1F4E"/>
    <w:rsid w:val="00BC42B0"/>
    <w:rsid w:val="00BD4B64"/>
    <w:rsid w:val="00BD6BFE"/>
    <w:rsid w:val="00BE3F4D"/>
    <w:rsid w:val="00BE6B82"/>
    <w:rsid w:val="00BF691F"/>
    <w:rsid w:val="00BF76EA"/>
    <w:rsid w:val="00C003C3"/>
    <w:rsid w:val="00C0333F"/>
    <w:rsid w:val="00C04E1D"/>
    <w:rsid w:val="00C10F85"/>
    <w:rsid w:val="00C15FB1"/>
    <w:rsid w:val="00C27D9E"/>
    <w:rsid w:val="00C334AC"/>
    <w:rsid w:val="00C350CB"/>
    <w:rsid w:val="00C36D09"/>
    <w:rsid w:val="00C415DA"/>
    <w:rsid w:val="00C67B36"/>
    <w:rsid w:val="00C84980"/>
    <w:rsid w:val="00C950BB"/>
    <w:rsid w:val="00C9528E"/>
    <w:rsid w:val="00CA2EC9"/>
    <w:rsid w:val="00CA3161"/>
    <w:rsid w:val="00CA4848"/>
    <w:rsid w:val="00CA4DC8"/>
    <w:rsid w:val="00CA51F4"/>
    <w:rsid w:val="00CB418D"/>
    <w:rsid w:val="00CB61B7"/>
    <w:rsid w:val="00CC156E"/>
    <w:rsid w:val="00CC1653"/>
    <w:rsid w:val="00CC3023"/>
    <w:rsid w:val="00CD0D3E"/>
    <w:rsid w:val="00CD68C9"/>
    <w:rsid w:val="00CE6318"/>
    <w:rsid w:val="00CE7080"/>
    <w:rsid w:val="00CE7DA3"/>
    <w:rsid w:val="00CF363D"/>
    <w:rsid w:val="00CF504C"/>
    <w:rsid w:val="00D0212B"/>
    <w:rsid w:val="00D02FAF"/>
    <w:rsid w:val="00D031B9"/>
    <w:rsid w:val="00D03E47"/>
    <w:rsid w:val="00D11234"/>
    <w:rsid w:val="00D1643B"/>
    <w:rsid w:val="00D30F45"/>
    <w:rsid w:val="00D30FDA"/>
    <w:rsid w:val="00D4135F"/>
    <w:rsid w:val="00D41B1A"/>
    <w:rsid w:val="00D4298A"/>
    <w:rsid w:val="00D45A57"/>
    <w:rsid w:val="00D51176"/>
    <w:rsid w:val="00D524F0"/>
    <w:rsid w:val="00D60593"/>
    <w:rsid w:val="00D74B76"/>
    <w:rsid w:val="00D7515F"/>
    <w:rsid w:val="00D7691F"/>
    <w:rsid w:val="00D77FBF"/>
    <w:rsid w:val="00D85D69"/>
    <w:rsid w:val="00D94A31"/>
    <w:rsid w:val="00D95658"/>
    <w:rsid w:val="00DA50EF"/>
    <w:rsid w:val="00DA5C5F"/>
    <w:rsid w:val="00DB2830"/>
    <w:rsid w:val="00DC074B"/>
    <w:rsid w:val="00DC4F32"/>
    <w:rsid w:val="00DC707E"/>
    <w:rsid w:val="00DD0FE4"/>
    <w:rsid w:val="00DD175D"/>
    <w:rsid w:val="00DD1973"/>
    <w:rsid w:val="00DD48F9"/>
    <w:rsid w:val="00DD5540"/>
    <w:rsid w:val="00DD76A6"/>
    <w:rsid w:val="00DE1705"/>
    <w:rsid w:val="00DE79F0"/>
    <w:rsid w:val="00DF66D9"/>
    <w:rsid w:val="00E024F5"/>
    <w:rsid w:val="00E1394C"/>
    <w:rsid w:val="00E13B91"/>
    <w:rsid w:val="00E21EE3"/>
    <w:rsid w:val="00E24B5F"/>
    <w:rsid w:val="00E2582A"/>
    <w:rsid w:val="00E314AD"/>
    <w:rsid w:val="00E318F1"/>
    <w:rsid w:val="00E33445"/>
    <w:rsid w:val="00E35398"/>
    <w:rsid w:val="00E42EC2"/>
    <w:rsid w:val="00E445CD"/>
    <w:rsid w:val="00E46BB3"/>
    <w:rsid w:val="00E53549"/>
    <w:rsid w:val="00E5418F"/>
    <w:rsid w:val="00E55461"/>
    <w:rsid w:val="00E56FBA"/>
    <w:rsid w:val="00E600C7"/>
    <w:rsid w:val="00E64F00"/>
    <w:rsid w:val="00E734D7"/>
    <w:rsid w:val="00E7369C"/>
    <w:rsid w:val="00E7407F"/>
    <w:rsid w:val="00E92A4F"/>
    <w:rsid w:val="00E97382"/>
    <w:rsid w:val="00EB04D6"/>
    <w:rsid w:val="00EB5F00"/>
    <w:rsid w:val="00EC015C"/>
    <w:rsid w:val="00ED71A6"/>
    <w:rsid w:val="00EE526A"/>
    <w:rsid w:val="00EF2725"/>
    <w:rsid w:val="00F00FEB"/>
    <w:rsid w:val="00F012BF"/>
    <w:rsid w:val="00F02135"/>
    <w:rsid w:val="00F02D72"/>
    <w:rsid w:val="00F04197"/>
    <w:rsid w:val="00F12AC7"/>
    <w:rsid w:val="00F150D2"/>
    <w:rsid w:val="00F21D45"/>
    <w:rsid w:val="00F26414"/>
    <w:rsid w:val="00F26DB8"/>
    <w:rsid w:val="00F27543"/>
    <w:rsid w:val="00F43833"/>
    <w:rsid w:val="00F51473"/>
    <w:rsid w:val="00F53F85"/>
    <w:rsid w:val="00F55127"/>
    <w:rsid w:val="00F72094"/>
    <w:rsid w:val="00F80DD8"/>
    <w:rsid w:val="00F86DA9"/>
    <w:rsid w:val="00F916EE"/>
    <w:rsid w:val="00F93EBE"/>
    <w:rsid w:val="00F9415B"/>
    <w:rsid w:val="00FA2C0B"/>
    <w:rsid w:val="00FA5183"/>
    <w:rsid w:val="00FC3BAB"/>
    <w:rsid w:val="00FE21B4"/>
    <w:rsid w:val="00FE4D3C"/>
    <w:rsid w:val="00FF0A9D"/>
    <w:rsid w:val="00FF1943"/>
    <w:rsid w:val="00FF1AEB"/>
    <w:rsid w:val="00FF375F"/>
    <w:rsid w:val="03FF0010"/>
    <w:rsid w:val="059E5164"/>
    <w:rsid w:val="077F1797"/>
    <w:rsid w:val="08191EEA"/>
    <w:rsid w:val="09DD35DD"/>
    <w:rsid w:val="0AAD7F11"/>
    <w:rsid w:val="0B9B6461"/>
    <w:rsid w:val="0CC42CDB"/>
    <w:rsid w:val="0E9570EC"/>
    <w:rsid w:val="13C428CB"/>
    <w:rsid w:val="15565D98"/>
    <w:rsid w:val="15E672A6"/>
    <w:rsid w:val="1632127B"/>
    <w:rsid w:val="16551BAC"/>
    <w:rsid w:val="18523277"/>
    <w:rsid w:val="186D58D3"/>
    <w:rsid w:val="196F2AB8"/>
    <w:rsid w:val="1B2D46F0"/>
    <w:rsid w:val="1F34410E"/>
    <w:rsid w:val="1F4A277C"/>
    <w:rsid w:val="20D933F7"/>
    <w:rsid w:val="21BE7C5A"/>
    <w:rsid w:val="22441677"/>
    <w:rsid w:val="266C7E51"/>
    <w:rsid w:val="27192497"/>
    <w:rsid w:val="27586C8F"/>
    <w:rsid w:val="28E233AA"/>
    <w:rsid w:val="29146667"/>
    <w:rsid w:val="297E1B2D"/>
    <w:rsid w:val="2AB67652"/>
    <w:rsid w:val="2AE65071"/>
    <w:rsid w:val="2B851D1E"/>
    <w:rsid w:val="317727A6"/>
    <w:rsid w:val="3241063D"/>
    <w:rsid w:val="35AC7454"/>
    <w:rsid w:val="361C403D"/>
    <w:rsid w:val="36CFABD4"/>
    <w:rsid w:val="37145B84"/>
    <w:rsid w:val="3817369B"/>
    <w:rsid w:val="384E5BB7"/>
    <w:rsid w:val="384F43B6"/>
    <w:rsid w:val="38F7BC62"/>
    <w:rsid w:val="39D7BE08"/>
    <w:rsid w:val="3C5AA734"/>
    <w:rsid w:val="3DA54282"/>
    <w:rsid w:val="3E451C15"/>
    <w:rsid w:val="3F3BAE3C"/>
    <w:rsid w:val="3FFF65A9"/>
    <w:rsid w:val="40053F18"/>
    <w:rsid w:val="4384637F"/>
    <w:rsid w:val="43A13CE4"/>
    <w:rsid w:val="44306C49"/>
    <w:rsid w:val="444428D9"/>
    <w:rsid w:val="45E96B0C"/>
    <w:rsid w:val="48FF5E80"/>
    <w:rsid w:val="4AAA142E"/>
    <w:rsid w:val="4BC05C8C"/>
    <w:rsid w:val="4D202E5C"/>
    <w:rsid w:val="4D955D87"/>
    <w:rsid w:val="4F246C44"/>
    <w:rsid w:val="524714C2"/>
    <w:rsid w:val="52AB3B43"/>
    <w:rsid w:val="55C34608"/>
    <w:rsid w:val="55DC1506"/>
    <w:rsid w:val="577B814B"/>
    <w:rsid w:val="57A74D3D"/>
    <w:rsid w:val="58AF799D"/>
    <w:rsid w:val="598B736C"/>
    <w:rsid w:val="5A6058D3"/>
    <w:rsid w:val="5B2A28F1"/>
    <w:rsid w:val="5C1330FA"/>
    <w:rsid w:val="5C395FFC"/>
    <w:rsid w:val="5C564998"/>
    <w:rsid w:val="5CDFFE59"/>
    <w:rsid w:val="5D60635C"/>
    <w:rsid w:val="5F582A8E"/>
    <w:rsid w:val="615C785F"/>
    <w:rsid w:val="627356C4"/>
    <w:rsid w:val="63383CB5"/>
    <w:rsid w:val="636B5B38"/>
    <w:rsid w:val="65CD5046"/>
    <w:rsid w:val="67F87649"/>
    <w:rsid w:val="68AE0CE2"/>
    <w:rsid w:val="68B675E2"/>
    <w:rsid w:val="69FB693B"/>
    <w:rsid w:val="69FD5D8F"/>
    <w:rsid w:val="6A235742"/>
    <w:rsid w:val="6B010E7A"/>
    <w:rsid w:val="6C015B7C"/>
    <w:rsid w:val="709C61A6"/>
    <w:rsid w:val="7331512E"/>
    <w:rsid w:val="740D1C70"/>
    <w:rsid w:val="75D70B7B"/>
    <w:rsid w:val="76360BE1"/>
    <w:rsid w:val="779514C6"/>
    <w:rsid w:val="79EE2DCB"/>
    <w:rsid w:val="7C644540"/>
    <w:rsid w:val="7DB20660"/>
    <w:rsid w:val="7FFF499D"/>
    <w:rsid w:val="D5FBE332"/>
    <w:rsid w:val="E1B3A14F"/>
    <w:rsid w:val="E5CD3B5A"/>
    <w:rsid w:val="F770F32B"/>
    <w:rsid w:val="FB9F060C"/>
    <w:rsid w:val="FD5F0B94"/>
    <w:rsid w:val="FE775FEC"/>
    <w:rsid w:val="FFF7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heme="minorBidi"/>
      <w:kern w:val="2"/>
      <w:sz w:val="32"/>
      <w:szCs w:val="24"/>
      <w:lang w:val="en-US" w:eastAsia="zh-CN" w:bidi="ar-SA"/>
      <w14:ligatures w14:val="standardContextual"/>
    </w:rPr>
  </w:style>
  <w:style w:type="paragraph" w:styleId="4">
    <w:name w:val="heading 1"/>
    <w:basedOn w:val="1"/>
    <w:next w:val="1"/>
    <w:link w:val="2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9"/>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7">
    <w:name w:val="heading 4"/>
    <w:basedOn w:val="1"/>
    <w:next w:val="1"/>
    <w:link w:val="3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32"/>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33"/>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3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160" w:afterAutospacing="0" w:line="276" w:lineRule="auto"/>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link w:val="59"/>
    <w:unhideWhenUsed/>
    <w:qFormat/>
    <w:uiPriority w:val="99"/>
    <w:pPr>
      <w:spacing w:after="120"/>
      <w:ind w:left="420" w:leftChars="200"/>
    </w:pPr>
  </w:style>
  <w:style w:type="paragraph" w:styleId="13">
    <w:name w:val="annotation text"/>
    <w:basedOn w:val="1"/>
    <w:link w:val="55"/>
    <w:unhideWhenUsed/>
    <w:qFormat/>
    <w:uiPriority w:val="99"/>
  </w:style>
  <w:style w:type="paragraph" w:styleId="14">
    <w:name w:val="toc 3"/>
    <w:basedOn w:val="1"/>
    <w:next w:val="1"/>
    <w:unhideWhenUsed/>
    <w:qFormat/>
    <w:uiPriority w:val="39"/>
    <w:pPr>
      <w:ind w:left="840" w:leftChars="400"/>
    </w:pPr>
  </w:style>
  <w:style w:type="paragraph" w:styleId="15">
    <w:name w:val="footer"/>
    <w:basedOn w:val="1"/>
    <w:link w:val="47"/>
    <w:unhideWhenUsed/>
    <w:qFormat/>
    <w:uiPriority w:val="99"/>
    <w:pPr>
      <w:tabs>
        <w:tab w:val="center" w:pos="4153"/>
        <w:tab w:val="right" w:pos="8306"/>
      </w:tabs>
      <w:snapToGrid w:val="0"/>
    </w:pPr>
    <w:rPr>
      <w:sz w:val="18"/>
      <w:szCs w:val="18"/>
    </w:rPr>
  </w:style>
  <w:style w:type="paragraph" w:styleId="16">
    <w:name w:val="header"/>
    <w:basedOn w:val="1"/>
    <w:link w:val="46"/>
    <w:unhideWhenUsed/>
    <w:qFormat/>
    <w:uiPriority w:val="99"/>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789"/>
      </w:tabs>
      <w:jc w:val="center"/>
    </w:pPr>
  </w:style>
  <w:style w:type="paragraph" w:styleId="18">
    <w:name w:val="Subtitle"/>
    <w:basedOn w:val="1"/>
    <w:next w:val="1"/>
    <w:link w:val="38"/>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unhideWhenUsed/>
    <w:qFormat/>
    <w:uiPriority w:val="39"/>
    <w:pPr>
      <w:tabs>
        <w:tab w:val="right" w:leader="dot" w:pos="8789"/>
      </w:tabs>
      <w:ind w:left="419" w:leftChars="131" w:firstLine="198" w:firstLineChars="62"/>
    </w:pPr>
  </w:style>
  <w:style w:type="paragraph" w:styleId="20">
    <w:name w:val="Title"/>
    <w:basedOn w:val="1"/>
    <w:next w:val="1"/>
    <w:link w:val="3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3"/>
    <w:next w:val="13"/>
    <w:link w:val="56"/>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basedOn w:val="24"/>
    <w:unhideWhenUsed/>
    <w:qFormat/>
    <w:uiPriority w:val="99"/>
    <w:rPr>
      <w:color w:val="467886"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标题 1 字符"/>
    <w:basedOn w:val="24"/>
    <w:link w:val="4"/>
    <w:qFormat/>
    <w:uiPriority w:val="9"/>
    <w:rPr>
      <w:rFonts w:asciiTheme="majorHAnsi" w:hAnsiTheme="majorHAnsi" w:eastAsiaTheme="majorEastAsia" w:cstheme="majorBidi"/>
      <w:color w:val="104862" w:themeColor="accent1" w:themeShade="BF"/>
      <w:sz w:val="48"/>
      <w:szCs w:val="48"/>
    </w:rPr>
  </w:style>
  <w:style w:type="character" w:customStyle="1" w:styleId="29">
    <w:name w:val="标题 2 字符"/>
    <w:basedOn w:val="24"/>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30">
    <w:name w:val="标题 3 字符"/>
    <w:basedOn w:val="24"/>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31">
    <w:name w:val="标题 4 字符"/>
    <w:basedOn w:val="24"/>
    <w:link w:val="7"/>
    <w:semiHidden/>
    <w:qFormat/>
    <w:uiPriority w:val="9"/>
    <w:rPr>
      <w:rFonts w:cstheme="majorBidi"/>
      <w:color w:val="104862" w:themeColor="accent1" w:themeShade="BF"/>
      <w:sz w:val="28"/>
      <w:szCs w:val="28"/>
    </w:rPr>
  </w:style>
  <w:style w:type="character" w:customStyle="1" w:styleId="32">
    <w:name w:val="标题 5 字符"/>
    <w:basedOn w:val="24"/>
    <w:link w:val="8"/>
    <w:semiHidden/>
    <w:qFormat/>
    <w:uiPriority w:val="9"/>
    <w:rPr>
      <w:rFonts w:cstheme="majorBidi"/>
      <w:color w:val="104862" w:themeColor="accent1" w:themeShade="BF"/>
      <w:sz w:val="24"/>
    </w:rPr>
  </w:style>
  <w:style w:type="character" w:customStyle="1" w:styleId="33">
    <w:name w:val="标题 6 字符"/>
    <w:basedOn w:val="24"/>
    <w:link w:val="9"/>
    <w:semiHidden/>
    <w:qFormat/>
    <w:uiPriority w:val="9"/>
    <w:rPr>
      <w:rFonts w:cstheme="majorBidi"/>
      <w:b/>
      <w:bCs/>
      <w:color w:val="104862" w:themeColor="accent1" w:themeShade="BF"/>
    </w:rPr>
  </w:style>
  <w:style w:type="character" w:customStyle="1" w:styleId="34">
    <w:name w:val="标题 7 字符"/>
    <w:basedOn w:val="24"/>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24"/>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24"/>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24"/>
    <w:link w:val="20"/>
    <w:qFormat/>
    <w:uiPriority w:val="10"/>
    <w:rPr>
      <w:rFonts w:asciiTheme="majorHAnsi" w:hAnsiTheme="majorHAnsi" w:eastAsiaTheme="majorEastAsia" w:cstheme="majorBidi"/>
      <w:spacing w:val="-10"/>
      <w:kern w:val="28"/>
      <w:sz w:val="56"/>
      <w:szCs w:val="56"/>
    </w:rPr>
  </w:style>
  <w:style w:type="character" w:customStyle="1" w:styleId="38">
    <w:name w:val="副标题 字符"/>
    <w:basedOn w:val="24"/>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4"/>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34"/>
    <w:pPr>
      <w:ind w:left="720"/>
      <w:contextualSpacing/>
    </w:pPr>
  </w:style>
  <w:style w:type="character" w:customStyle="1" w:styleId="42">
    <w:name w:val="明显强调1"/>
    <w:basedOn w:val="24"/>
    <w:qFormat/>
    <w:uiPriority w:val="21"/>
    <w:rPr>
      <w:i/>
      <w:iCs/>
      <w:color w:val="104862" w:themeColor="accent1" w:themeShade="BF"/>
    </w:rPr>
  </w:style>
  <w:style w:type="paragraph" w:styleId="43">
    <w:name w:val="Intense Quote"/>
    <w:basedOn w:val="1"/>
    <w:next w:val="1"/>
    <w:link w:val="4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4">
    <w:name w:val="明显引用 字符"/>
    <w:basedOn w:val="24"/>
    <w:link w:val="43"/>
    <w:qFormat/>
    <w:uiPriority w:val="30"/>
    <w:rPr>
      <w:i/>
      <w:iCs/>
      <w:color w:val="104862" w:themeColor="accent1" w:themeShade="BF"/>
    </w:rPr>
  </w:style>
  <w:style w:type="character" w:customStyle="1" w:styleId="45">
    <w:name w:val="明显参考1"/>
    <w:basedOn w:val="24"/>
    <w:qFormat/>
    <w:uiPriority w:val="32"/>
    <w:rPr>
      <w:b/>
      <w:bCs/>
      <w:smallCaps/>
      <w:color w:val="104862" w:themeColor="accent1" w:themeShade="BF"/>
      <w:spacing w:val="5"/>
    </w:rPr>
  </w:style>
  <w:style w:type="character" w:customStyle="1" w:styleId="46">
    <w:name w:val="页眉 字符"/>
    <w:basedOn w:val="24"/>
    <w:link w:val="16"/>
    <w:qFormat/>
    <w:uiPriority w:val="99"/>
    <w:rPr>
      <w:sz w:val="18"/>
      <w:szCs w:val="18"/>
    </w:rPr>
  </w:style>
  <w:style w:type="character" w:customStyle="1" w:styleId="47">
    <w:name w:val="页脚 字符"/>
    <w:basedOn w:val="24"/>
    <w:link w:val="15"/>
    <w:qFormat/>
    <w:uiPriority w:val="99"/>
    <w:rPr>
      <w:sz w:val="18"/>
      <w:szCs w:val="18"/>
    </w:rPr>
  </w:style>
  <w:style w:type="paragraph" w:customStyle="1" w:styleId="48">
    <w:name w:val="一级标题"/>
    <w:basedOn w:val="4"/>
    <w:next w:val="49"/>
    <w:qFormat/>
    <w:uiPriority w:val="0"/>
    <w:pPr>
      <w:spacing w:before="0" w:after="160"/>
      <w:jc w:val="center"/>
    </w:pPr>
    <w:rPr>
      <w:rFonts w:ascii="Times New Roman" w:hAnsi="Times New Roman" w:eastAsia="仿宋" w:cs="Times New Roman"/>
      <w:bCs/>
      <w:color w:val="auto"/>
      <w:kern w:val="0"/>
      <w:sz w:val="32"/>
      <w:szCs w:val="36"/>
      <w14:ligatures w14:val="none"/>
    </w:rPr>
  </w:style>
  <w:style w:type="paragraph" w:customStyle="1" w:styleId="49">
    <w:name w:val="二级标题"/>
    <w:basedOn w:val="5"/>
    <w:next w:val="50"/>
    <w:qFormat/>
    <w:uiPriority w:val="0"/>
    <w:pPr>
      <w:keepNext w:val="0"/>
      <w:keepLines w:val="0"/>
      <w:spacing w:before="100" w:beforeAutospacing="1" w:after="100" w:afterAutospacing="1" w:line="360" w:lineRule="auto"/>
    </w:pPr>
    <w:rPr>
      <w:rFonts w:ascii="Times New Roman" w:hAnsi="Times New Roman" w:eastAsia="宋体" w:cs="Times New Roman"/>
      <w:b/>
      <w:bCs/>
      <w:color w:val="auto"/>
      <w:kern w:val="0"/>
      <w:sz w:val="36"/>
      <w:szCs w:val="36"/>
      <w14:ligatures w14:val="none"/>
    </w:rPr>
  </w:style>
  <w:style w:type="paragraph" w:customStyle="1" w:styleId="50">
    <w:name w:val="三级标题"/>
    <w:basedOn w:val="6"/>
    <w:next w:val="1"/>
    <w:qFormat/>
    <w:uiPriority w:val="0"/>
    <w:rPr>
      <w:rFonts w:ascii="Times New Roman" w:hAnsi="Times New Roman" w:eastAsia="宋体"/>
      <w:b/>
      <w:color w:val="auto"/>
    </w:rPr>
  </w:style>
  <w:style w:type="paragraph" w:customStyle="1" w:styleId="51">
    <w:name w:val="附件"/>
    <w:basedOn w:val="4"/>
    <w:qFormat/>
    <w:uiPriority w:val="0"/>
    <w:rPr>
      <w:rFonts w:ascii="Times New Roman" w:hAnsi="Times New Roman" w:eastAsia="宋体"/>
      <w:b/>
      <w:color w:val="auto"/>
      <w:sz w:val="36"/>
    </w:rPr>
  </w:style>
  <w:style w:type="paragraph" w:customStyle="1" w:styleId="52">
    <w:name w:val="目录"/>
    <w:basedOn w:val="1"/>
    <w:qFormat/>
    <w:uiPriority w:val="0"/>
  </w:style>
  <w:style w:type="paragraph" w:customStyle="1" w:styleId="53">
    <w:name w:val="TOC 标题1"/>
    <w:basedOn w:val="4"/>
    <w:next w:val="1"/>
    <w:unhideWhenUsed/>
    <w:qFormat/>
    <w:uiPriority w:val="39"/>
    <w:pPr>
      <w:widowControl/>
      <w:spacing w:before="240" w:after="0" w:line="259" w:lineRule="auto"/>
      <w:outlineLvl w:val="9"/>
    </w:pPr>
    <w:rPr>
      <w:kern w:val="0"/>
      <w:sz w:val="32"/>
      <w:szCs w:val="32"/>
      <w14:ligatures w14:val="none"/>
    </w:rPr>
  </w:style>
  <w:style w:type="paragraph" w:customStyle="1" w:styleId="54">
    <w:name w:val="表内文字"/>
    <w:basedOn w:val="1"/>
    <w:qFormat/>
    <w:uiPriority w:val="0"/>
    <w:rPr>
      <w:sz w:val="24"/>
    </w:rPr>
  </w:style>
  <w:style w:type="character" w:customStyle="1" w:styleId="55">
    <w:name w:val="批注文字 字符"/>
    <w:basedOn w:val="24"/>
    <w:link w:val="13"/>
    <w:qFormat/>
    <w:uiPriority w:val="99"/>
    <w:rPr>
      <w:rFonts w:ascii="Times New Roman" w:hAnsi="Times New Roman" w:eastAsia="仿宋"/>
      <w:sz w:val="32"/>
    </w:rPr>
  </w:style>
  <w:style w:type="character" w:customStyle="1" w:styleId="56">
    <w:name w:val="批注主题 字符"/>
    <w:basedOn w:val="55"/>
    <w:link w:val="21"/>
    <w:semiHidden/>
    <w:qFormat/>
    <w:uiPriority w:val="99"/>
    <w:rPr>
      <w:rFonts w:ascii="Times New Roman" w:hAnsi="Times New Roman" w:eastAsia="仿宋"/>
      <w:b/>
      <w:bCs/>
      <w:sz w:val="32"/>
    </w:rPr>
  </w:style>
  <w:style w:type="paragraph" w:customStyle="1" w:styleId="57">
    <w:name w:val="修订1"/>
    <w:hidden/>
    <w:semiHidden/>
    <w:qFormat/>
    <w:uiPriority w:val="99"/>
    <w:rPr>
      <w:rFonts w:ascii="Times New Roman" w:hAnsi="Times New Roman" w:eastAsia="仿宋" w:cstheme="minorBidi"/>
      <w:kern w:val="2"/>
      <w:sz w:val="32"/>
      <w:szCs w:val="24"/>
      <w:lang w:val="en-US" w:eastAsia="zh-CN" w:bidi="ar-SA"/>
      <w14:ligatures w14:val="standardContextual"/>
    </w:rPr>
  </w:style>
  <w:style w:type="paragraph" w:customStyle="1" w:styleId="58">
    <w:name w:val="Revision"/>
    <w:hidden/>
    <w:unhideWhenUsed/>
    <w:qFormat/>
    <w:uiPriority w:val="99"/>
    <w:rPr>
      <w:rFonts w:ascii="Times New Roman" w:hAnsi="Times New Roman" w:eastAsia="仿宋" w:cstheme="minorBidi"/>
      <w:kern w:val="2"/>
      <w:sz w:val="32"/>
      <w:szCs w:val="24"/>
      <w:lang w:val="en-US" w:eastAsia="zh-CN" w:bidi="ar-SA"/>
      <w14:ligatures w14:val="standardContextual"/>
    </w:rPr>
  </w:style>
  <w:style w:type="character" w:customStyle="1" w:styleId="59">
    <w:name w:val="正文文本缩进 字符"/>
    <w:basedOn w:val="24"/>
    <w:link w:val="3"/>
    <w:qFormat/>
    <w:uiPriority w:val="0"/>
    <w:rPr>
      <w:rFonts w:hint="eastAsia" w:ascii="仿宋" w:hAnsi="仿宋" w:eastAsia="仿宋" w:cs="Times New Roman"/>
      <w:kern w:val="2"/>
      <w:sz w:val="32"/>
      <w:szCs w:val="24"/>
    </w:rPr>
  </w:style>
  <w:style w:type="character" w:customStyle="1" w:styleId="60">
    <w:name w:val="正文文本首行缩进 2 字符"/>
    <w:basedOn w:val="59"/>
    <w:qFormat/>
    <w:uiPriority w:val="0"/>
    <w:rPr>
      <w:rFonts w:hint="eastAsia" w:ascii="仿宋" w:hAnsi="仿宋" w:eastAsia="仿宋" w:cs="Times New Roman"/>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5461</Words>
  <Characters>5830</Characters>
  <Lines>45</Lines>
  <Paragraphs>12</Paragraphs>
  <TotalTime>72</TotalTime>
  <ScaleCrop>false</ScaleCrop>
  <LinksUpToDate>false</LinksUpToDate>
  <CharactersWithSpaces>6087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2024-08-20T20:15:00Z</dcterms:created>
  <dc:creator>子威 王</dc:creator>
  <cp:lastModifiedBy>xmadmin</cp:lastModifiedBy>
  <dcterms:modified xsi:type="dcterms:W3CDTF">2024-11-27T10:11:34Z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280A753FC785462C8D8135C18802A52A_13</vt:lpwstr>
  </property>
</Properties>
</file>