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700" w:lineRule="exact"/>
        <w:jc w:val="center"/>
        <w:rPr>
          <w:rFonts w:hint="eastAsia" w:ascii="方正小标宋简体" w:hAnsi="宋体" w:eastAsia="方正小标宋简体" w:cs="微软雅黑"/>
          <w:color w:val="auto"/>
          <w:sz w:val="44"/>
          <w:szCs w:val="44"/>
          <w14:ligatures w14:val="none"/>
        </w:rPr>
      </w:pPr>
      <w:r>
        <w:rPr>
          <w:rFonts w:hint="eastAsia" w:ascii="方正小标宋简体" w:hAnsi="宋体" w:eastAsia="方正小标宋简体" w:cs="微软雅黑"/>
          <w:color w:val="auto"/>
          <w:sz w:val="44"/>
          <w:szCs w:val="44"/>
          <w14:ligatures w14:val="none"/>
        </w:rPr>
        <w:t>厦门市内墙抹灰机器人建设指引</w:t>
      </w:r>
    </w:p>
    <w:p>
      <w:pPr>
        <w:autoSpaceDE w:val="0"/>
        <w:autoSpaceDN w:val="0"/>
        <w:adjustRightInd w:val="0"/>
        <w:snapToGrid w:val="0"/>
        <w:spacing w:line="700" w:lineRule="exact"/>
        <w:jc w:val="center"/>
        <w:rPr>
          <w:rFonts w:ascii="微软雅黑" w:hAnsi="微软雅黑" w:eastAsia="微软雅黑" w:cs="微软雅黑"/>
          <w:color w:val="auto"/>
          <w:sz w:val="44"/>
          <w:szCs w:val="44"/>
          <w14:ligatures w14:val="none"/>
        </w:rPr>
      </w:pPr>
      <w:bookmarkStart w:id="34" w:name="_GoBack"/>
      <w:bookmarkEnd w:id="34"/>
      <w:r>
        <w:rPr>
          <w:rFonts w:hint="eastAsia" w:ascii="方正小标宋简体" w:hAnsi="宋体" w:eastAsia="方正小标宋简体" w:cs="微软雅黑"/>
          <w:color w:val="auto"/>
          <w:sz w:val="44"/>
          <w:szCs w:val="44"/>
          <w14:ligatures w14:val="none"/>
        </w:rPr>
        <w:t>（</w:t>
      </w:r>
      <w:r>
        <w:rPr>
          <w:rFonts w:hint="eastAsia" w:ascii="方正小标宋简体" w:hAnsi="宋体" w:eastAsia="方正小标宋简体" w:cs="微软雅黑"/>
          <w:color w:val="auto"/>
          <w:sz w:val="44"/>
          <w:szCs w:val="44"/>
          <w:lang w:eastAsia="zh-CN"/>
          <w14:ligatures w14:val="none"/>
        </w:rPr>
        <w:t>征求意见稿</w:t>
      </w:r>
      <w:r>
        <w:rPr>
          <w:rFonts w:hint="eastAsia" w:ascii="方正小标宋简体" w:hAnsi="宋体" w:eastAsia="方正小标宋简体" w:cs="微软雅黑"/>
          <w:color w:val="auto"/>
          <w:sz w:val="44"/>
          <w:szCs w:val="44"/>
          <w14:ligatures w14:val="none"/>
        </w:rPr>
        <w:t>）</w:t>
      </w:r>
      <w:bookmarkStart w:id="0" w:name="_Toc171693201"/>
      <w:bookmarkStart w:id="1" w:name="_Toc171692816"/>
      <w:bookmarkStart w:id="2" w:name="_Toc171693022"/>
      <w:bookmarkStart w:id="3" w:name="_Toc175813234"/>
    </w:p>
    <w:p>
      <w:pPr>
        <w:spacing w:line="560" w:lineRule="exact"/>
        <w:jc w:val="center"/>
        <w:rPr>
          <w:rFonts w:ascii="方正小标宋简体" w:hAnsi="方正小标宋简体" w:eastAsia="方正小标宋简体" w:cs="方正小标宋简体"/>
          <w:color w:val="auto"/>
          <w:sz w:val="52"/>
          <w:szCs w:val="52"/>
          <w14:ligatures w14:val="none"/>
        </w:rPr>
      </w:pPr>
    </w:p>
    <w:p>
      <w:pPr>
        <w:spacing w:line="560" w:lineRule="exact"/>
        <w:jc w:val="center"/>
        <w:rPr>
          <w:rFonts w:ascii="方正中等线_GBK" w:hAnsi="方正中等线_GBK" w:eastAsia="方正中等线_GBK" w:cs="方正中等线_GBK"/>
          <w:b/>
          <w:bCs/>
          <w:color w:val="auto"/>
          <w:szCs w:val="32"/>
        </w:rPr>
      </w:pPr>
      <w:r>
        <w:rPr>
          <w:rFonts w:hint="eastAsia" w:ascii="方正中等线_GBK" w:hAnsi="方正中等线_GBK" w:eastAsia="方正中等线_GBK" w:cs="方正中等线_GBK"/>
          <w:b/>
          <w:bCs/>
          <w:color w:val="auto"/>
          <w:szCs w:val="32"/>
        </w:rPr>
        <w:t>1</w:t>
      </w:r>
      <w:bookmarkEnd w:id="0"/>
      <w:bookmarkEnd w:id="1"/>
      <w:bookmarkEnd w:id="2"/>
      <w:r>
        <w:rPr>
          <w:rFonts w:hint="eastAsia" w:ascii="方正中等线_GBK" w:hAnsi="方正中等线_GBK" w:eastAsia="方正中等线_GBK" w:cs="方正中等线_GBK"/>
          <w:b/>
          <w:bCs/>
          <w:color w:val="auto"/>
          <w:szCs w:val="32"/>
        </w:rPr>
        <w:t xml:space="preserve">  总则</w:t>
      </w:r>
      <w:bookmarkEnd w:id="3"/>
    </w:p>
    <w:p>
      <w:pPr>
        <w:spacing w:line="560" w:lineRule="exact"/>
        <w:rPr>
          <w:rFonts w:ascii="仿宋_GB2312" w:hAnsi="仿宋_GB2312" w:eastAsia="仿宋_GB2312" w:cs="仿宋_GB2312"/>
          <w:color w:val="auto"/>
          <w:szCs w:val="32"/>
        </w:rPr>
      </w:pPr>
    </w:p>
    <w:p>
      <w:pPr>
        <w:spacing w:line="5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1.1 为落实《厦门市智能建造试点城市实施方案》等有关文件精神，推动我市建设领域科技创新，提升工程建设数字化水平，提高工程项目管理效率，促进房屋建筑工程智慧化工地应用，有效指导施工现场抹灰机器人应用规范化、科学化和智能化，特制定本指引。</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1.2 本指引适用于计划采用抹灰机器人进行内墙抹灰施工的新建、改（扩）建的房屋建筑工程。</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1.3 内墙抹灰机器人的装配、使用等安全管理除应符合本指引外，尚应符合国家、行业和本省市现行有关标准的规定。</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4" w:name="_Toc171693203"/>
      <w:bookmarkStart w:id="5" w:name="_Toc171693024"/>
      <w:bookmarkStart w:id="6" w:name="_Toc171692818"/>
      <w:bookmarkStart w:id="7" w:name="_Toc175813235"/>
      <w:r>
        <w:rPr>
          <w:rFonts w:hint="eastAsia" w:ascii="方正中等线_GBK" w:hAnsi="方正中等线_GBK" w:eastAsia="方正中等线_GBK" w:cs="方正中等线_GBK"/>
          <w:b/>
          <w:bCs/>
          <w:color w:val="auto"/>
          <w:szCs w:val="32"/>
        </w:rPr>
        <w:t>2</w:t>
      </w:r>
      <w:bookmarkEnd w:id="4"/>
      <w:bookmarkEnd w:id="5"/>
      <w:bookmarkEnd w:id="6"/>
      <w:r>
        <w:rPr>
          <w:rFonts w:hint="eastAsia" w:ascii="方正中等线_GBK" w:hAnsi="方正中等线_GBK" w:eastAsia="方正中等线_GBK" w:cs="方正中等线_GBK"/>
          <w:b/>
          <w:bCs/>
          <w:color w:val="auto"/>
          <w:szCs w:val="32"/>
        </w:rPr>
        <w:t xml:space="preserve">  适用标准文件</w:t>
      </w:r>
      <w:bookmarkEnd w:id="7"/>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本文件规定了智能抹灰机器人及内墙抹灰施工的要求，抹灰机器人应执行常规机器人相关标准规定，及抹灰机器人相关全国性协会团体标准中与本指引无冲突内容，包括但不限于以下项：</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《建设工程施工现场管理规定》建设部第15号令</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《建设工程质量管理条例》国务院令第279号</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《建设工程安全生产管理条例》国务院令第393号</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《安全生产许可证条例》国务院令第638号</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《生产安全事故报告和调查处理条例》国务院令第493号</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《工程建筑标准强制性条文》建设部[2013]版</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《房屋建筑和市政基础设施工程竣工验收规定》建质[2013]171号</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《工业机器人验收规则》（JB/T 8896）</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《工业机器人特性表示》（GB/T 12644）</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《工业机器人电磁兼容性试验方法和性能评估准则指南》（GB/Z 19397）</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《施工现场临时用电安全技术规范》（JGJ 46）</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《包装储运图示标志》（GB/T 191）</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《防霉包装》（GB/T 4768）</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《防锈包装》（GB/T 4879）</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《防潮包装》（GB/T 5048）</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《建筑施工工具式脚手架安全技术规范》（JGJ202）</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《工业环境用机器人安全要求 第1部分：机器人》（GB 11291.1）</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《建设工程施工现场消防安全技术规范》（GB 50720）</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《建筑施工起重吊装工程安全技术规范》（JGJ 276）</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《工业机器人性能规范及其试验方法》（GB/T 12642）</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《建筑施工升降设备设施检验标准》（JGJ 305）</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《机器人与机器人装备词汇》（GB/T 12643）</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《高处作业吊篮安装、拆卸、使用技术规程》（JB/T 11699）</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《建筑施工高处作业安全技术规范》（JGJ 80）</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《通用硅酸盐水泥》（GB175）</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《建设工程施工现场供用电安全规范》（GB50194）</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《砌体结构工程施工质量验收规范》（GB50203）</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《混凝土结构工程施工质量验收规范》（GB50204）</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《建筑装饰装修工程质量验收规范》（GB50210）</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《抹灰砂浆技术规程》（JTJ/T 220）</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《机械喷涂抹灰施工规程》（JGJ/T 105）</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《建筑工程施工质量验收统一标准》（GB50300）</w:t>
      </w:r>
    </w:p>
    <w:p>
      <w:pPr>
        <w:numPr>
          <w:ilvl w:val="0"/>
          <w:numId w:val="1"/>
        </w:num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《建筑施工组织设计规范》（GB/T50502）</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8" w:name="_Toc171693205"/>
      <w:bookmarkStart w:id="9" w:name="_Toc171692820"/>
      <w:bookmarkStart w:id="10" w:name="_Toc171693026"/>
      <w:bookmarkStart w:id="11" w:name="_Toc175813236"/>
      <w:r>
        <w:rPr>
          <w:rFonts w:hint="eastAsia" w:ascii="方正中等线_GBK" w:hAnsi="方正中等线_GBK" w:eastAsia="方正中等线_GBK" w:cs="方正中等线_GBK"/>
          <w:b/>
          <w:bCs/>
          <w:color w:val="auto"/>
          <w:szCs w:val="32"/>
        </w:rPr>
        <w:t>3  术语</w:t>
      </w:r>
      <w:bookmarkEnd w:id="8"/>
      <w:bookmarkEnd w:id="9"/>
      <w:bookmarkEnd w:id="10"/>
      <w:r>
        <w:rPr>
          <w:rFonts w:hint="eastAsia" w:ascii="方正中等线_GBK" w:hAnsi="方正中等线_GBK" w:eastAsia="方正中等线_GBK" w:cs="方正中等线_GBK"/>
          <w:b/>
          <w:bCs/>
          <w:color w:val="auto"/>
          <w:szCs w:val="32"/>
        </w:rPr>
        <w:t>和定义</w:t>
      </w:r>
      <w:bookmarkEnd w:id="11"/>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下列术语和定义适用于本文件。</w:t>
      </w:r>
    </w:p>
    <w:p>
      <w:pPr>
        <w:spacing w:line="560" w:lineRule="exact"/>
        <w:ind w:firstLine="640" w:firstLineChars="200"/>
        <w:jc w:val="both"/>
        <w:rPr>
          <w:rFonts w:ascii="仿宋_GB2312" w:hAnsi="仿宋_GB2312" w:eastAsia="仿宋_GB2312" w:cs="仿宋_GB2312"/>
          <w:color w:val="auto"/>
          <w:szCs w:val="32"/>
        </w:rPr>
      </w:pPr>
      <w:bookmarkStart w:id="12" w:name="_Toc171693027"/>
      <w:bookmarkStart w:id="13" w:name="_Toc171692821"/>
      <w:bookmarkStart w:id="14" w:name="_Toc171693206"/>
      <w:r>
        <w:rPr>
          <w:rFonts w:hint="eastAsia" w:ascii="仿宋_GB2312" w:hAnsi="仿宋_GB2312" w:eastAsia="仿宋_GB2312" w:cs="仿宋_GB2312"/>
          <w:color w:val="auto"/>
          <w:szCs w:val="32"/>
        </w:rPr>
        <w:t>3.1 内墙抹灰机器人</w:t>
      </w:r>
      <w:bookmarkEnd w:id="12"/>
      <w:bookmarkEnd w:id="13"/>
      <w:bookmarkEnd w:id="14"/>
      <w:r>
        <w:rPr>
          <w:rFonts w:hint="eastAsia" w:ascii="仿宋_GB2312" w:hAnsi="仿宋_GB2312" w:eastAsia="仿宋_GB2312" w:cs="仿宋_GB2312"/>
          <w:color w:val="auto"/>
          <w:szCs w:val="32"/>
        </w:rPr>
        <w:t>：用于建筑装饰工程施工内墙抹灰作业的机器人，包含调平系统、提升系统、行走系统、定位系统、执行系统、泵送系统及控制系统，自动完成泵送上料、抹灰，自行完成抹灰砂浆上墙、抹平的移动式智能机械设备。</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3.2 抹灰执行系统：内墙抹灰机器人用于抹灰的系统，用于在不同墙面高度和角度下执行抹灰操作。</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3.3 供料系统：为内墙抹灰机器人抹灰作业供料的系统，确保材料供应稳定。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3.4 底盘系统：负责内墙抹灰机器人在建筑现场的移动，可以适应不同地面条件，确保机器人的稳定性。</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3.5 操作系统：控制管理内墙抹灰机器人的内置程序，用于协作机器人的各种硬件，以实现各种功能的系统程序。</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3.6 电气控制系统：控制管理内墙抹灰机器人的各种电气元件，用于实现对机器人各项功能的控制，同时保证设备安全、可靠地运行。</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15" w:name="_Toc171692822"/>
      <w:bookmarkStart w:id="16" w:name="_Toc171693028"/>
      <w:bookmarkStart w:id="17" w:name="_Toc171693207"/>
      <w:bookmarkStart w:id="18" w:name="_Toc175813237"/>
      <w:r>
        <w:rPr>
          <w:rFonts w:hint="eastAsia" w:ascii="方正中等线_GBK" w:hAnsi="方正中等线_GBK" w:eastAsia="方正中等线_GBK" w:cs="方正中等线_GBK"/>
          <w:b/>
          <w:bCs/>
          <w:color w:val="auto"/>
          <w:szCs w:val="32"/>
        </w:rPr>
        <w:t>4</w:t>
      </w:r>
      <w:bookmarkEnd w:id="15"/>
      <w:bookmarkEnd w:id="16"/>
      <w:bookmarkEnd w:id="17"/>
      <w:r>
        <w:rPr>
          <w:rFonts w:hint="eastAsia" w:ascii="方正中等线_GBK" w:hAnsi="方正中等线_GBK" w:eastAsia="方正中等线_GBK" w:cs="方正中等线_GBK"/>
          <w:b/>
          <w:bCs/>
          <w:color w:val="auto"/>
          <w:szCs w:val="32"/>
        </w:rPr>
        <w:t xml:space="preserve">  </w:t>
      </w:r>
      <w:bookmarkEnd w:id="18"/>
      <w:r>
        <w:rPr>
          <w:rFonts w:hint="eastAsia" w:ascii="方正中等线_GBK" w:hAnsi="方正中等线_GBK" w:eastAsia="方正中等线_GBK" w:cs="方正中等线_GBK"/>
          <w:b/>
          <w:bCs/>
          <w:color w:val="auto"/>
          <w:szCs w:val="32"/>
        </w:rPr>
        <w:t>基本规定</w:t>
      </w:r>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4.1 内墙抹灰机器人的设计和制造应包含智能化技术特征，在其型式试验报告、出厂检验报告、出厂合格证、操作说明书等文件上明确智能化标准依据，优先执行国家标准、行业标准、地方标准或全国性协会制定的团体标准。</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4.2 内墙抹灰机器人主要应由抹灰执行系统、供料系统、底盘系统、</w:t>
      </w:r>
      <w:r>
        <w:rPr>
          <w:rFonts w:ascii="仿宋_GB2312" w:hAnsi="仿宋_GB2312" w:eastAsia="仿宋_GB2312" w:cs="仿宋_GB2312"/>
          <w:color w:val="auto"/>
          <w:szCs w:val="32"/>
        </w:rPr>
        <w:t>操作系统、电气控制系统</w:t>
      </w:r>
      <w:r>
        <w:rPr>
          <w:rFonts w:hint="eastAsia" w:ascii="仿宋_GB2312" w:hAnsi="仿宋_GB2312" w:eastAsia="仿宋_GB2312" w:cs="仿宋_GB2312"/>
          <w:color w:val="auto"/>
          <w:szCs w:val="32"/>
        </w:rPr>
        <w:t>等部分内容组成，通过各系统协同联动工作，以确保机器人充分具备安全性、高质量、智能化特点，有效保障施工效率和质量的同时保障机器人作业的安全性。</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4.3 抹灰执行系统应包括抹灰工具（抹头）、多自由度机械臂（提升机构）、控制电机和传感器。</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4.4 抹灰工具（抹头）应用来完成抹灰的机械部件，包含抹刀、刮板等，可以完成均匀涂抹、平整上墙等。</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4.5 多自由度机械臂（提升机构）应可以按照预设轨迹来控制抹灰工具（抹头），实现精确的抹灰操作。</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4.6 抹灰执行系统应通过控制电机和传感器用于控制抹灰工具（抹头）的姿态和力量，使其能够适应不同墙面的高度和角度。</w:t>
      </w:r>
    </w:p>
    <w:p>
      <w:pPr>
        <w:spacing w:line="560" w:lineRule="exact"/>
        <w:ind w:firstLine="640" w:firstLineChars="200"/>
        <w:jc w:val="both"/>
        <w:rPr>
          <w:rFonts w:hint="eastAsia" w:ascii="仿宋_GB2312" w:hAnsi="仿宋_GB2312" w:eastAsia="微软雅黑" w:cs="仿宋_GB2312"/>
          <w:color w:val="auto"/>
          <w:szCs w:val="32"/>
        </w:rPr>
      </w:pPr>
      <w:r>
        <w:rPr>
          <w:rFonts w:hint="eastAsia" w:ascii="仿宋_GB2312" w:hAnsi="仿宋_GB2312" w:eastAsia="仿宋_GB2312" w:cs="仿宋_GB2312"/>
          <w:color w:val="auto"/>
          <w:szCs w:val="32"/>
        </w:rPr>
        <w:t>4.7 供料系统应包含砂浆储存系统、泵送系统和输送管道。</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4.8 砂浆储存系统用于储存抹灰所需的砂浆，保证作业过程的连续性。</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4.9 采用输送管道连接储存系统和抹灰机器人，通过泵送系统将砂浆从储存系统中传送到抹灰机器人，确保材料供应的稳定，砂浆能够顺利涂抹上墙。</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4.10 底盘系统可确保负责机器人在建筑现场的移动，可以是轮式、履带式等，适应不同地面条件，确保机器人可以平稳移动到不同工作位置。</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4.11 底盘系统中的定位系统可以通过激光雷达识别机器人的当前位置，并在工作区域内精准定位。</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4.12 通过电动调平系统，使底盘在不平坦的地面上保持水平，确保抹灰作业的稳定性。</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4.13 控制系统：同时对应移动、调整、作业操作、视觉等，通过高度一体化的全息通用控制器让机器人有足够的感知能力和控制执行能力，使机器人具备智能化工作能力。</w:t>
      </w:r>
    </w:p>
    <w:p>
      <w:pPr>
        <w:spacing w:line="560" w:lineRule="exact"/>
        <w:ind w:firstLine="640" w:firstLineChars="200"/>
        <w:jc w:val="both"/>
        <w:rPr>
          <w:rFonts w:ascii="微软雅黑" w:hAnsi="微软雅黑" w:eastAsia="微软雅黑" w:cs="仿宋_GB2312"/>
          <w:color w:val="auto"/>
          <w:szCs w:val="32"/>
        </w:rPr>
      </w:pPr>
      <w:r>
        <w:rPr>
          <w:rFonts w:hint="eastAsia" w:ascii="仿宋_GB2312" w:hAnsi="仿宋_GB2312" w:eastAsia="仿宋_GB2312" w:cs="仿宋_GB2312"/>
          <w:color w:val="auto"/>
          <w:szCs w:val="32"/>
        </w:rPr>
        <w:t>4.14 供料系统：包含储存抹灰所需的砂浆，保证作业过程的连续性。将砂浆从储存系统中传送到抹灰机器人，确保材料供应的稳定，连接储存系统和抹灰机器人，确保砂浆能够顺利涂抹上墙。</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19" w:name="_Toc175813238"/>
      <w:r>
        <w:rPr>
          <w:rFonts w:hint="eastAsia" w:ascii="方正中等线_GBK" w:hAnsi="方正中等线_GBK" w:eastAsia="方正中等线_GBK" w:cs="方正中等线_GBK"/>
          <w:b/>
          <w:bCs/>
          <w:color w:val="auto"/>
          <w:szCs w:val="32"/>
        </w:rPr>
        <w:t>5  机械租赁/购置</w:t>
      </w:r>
      <w:bookmarkEnd w:id="19"/>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5.1 企业租赁/购置的内墙抹灰机器人应符合本指引第4.1条的规定。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5.2 企业租赁/购置内墙抹灰机器人，应充分考虑建筑工地安全条件，适当选择较高的安全配置，提升设备本质安全。</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20" w:name="_Toc175813240"/>
      <w:r>
        <w:rPr>
          <w:rFonts w:hint="eastAsia" w:ascii="方正中等线_GBK" w:hAnsi="方正中等线_GBK" w:eastAsia="方正中等线_GBK" w:cs="方正中等线_GBK"/>
          <w:b/>
          <w:bCs/>
          <w:color w:val="auto"/>
          <w:szCs w:val="32"/>
        </w:rPr>
        <w:t xml:space="preserve">6  </w:t>
      </w:r>
      <w:bookmarkEnd w:id="20"/>
      <w:r>
        <w:rPr>
          <w:rFonts w:hint="eastAsia" w:ascii="方正中等线_GBK" w:hAnsi="方正中等线_GBK" w:eastAsia="方正中等线_GBK" w:cs="方正中等线_GBK"/>
          <w:b/>
          <w:bCs/>
          <w:color w:val="auto"/>
          <w:szCs w:val="32"/>
        </w:rPr>
        <w:t>安装与拆卸</w:t>
      </w:r>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6.1 机器人使用安全规范</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（1）机器人进出施工电梯坡道应可承受机器人重量，坡度不大于10°。</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（2）设备进入施工电梯后应立即开启急停，防止碰撞施工电梯。</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（3）机器人作业区域禁止非操作人员进入。在机器人提升作业时，正后方三米禁止站人，侧边保持1.5米安全距离。</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（4）机器人操作应由专业操作人员进行，非专业人员必须经培训通过后方可进行机器人操作。</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（5）临边洞口前置封堵完成后方可作业，机器人远离临边区域和承载力不足洞口区域作业。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（6）机器人提升动作时严禁攀爬、触摸传动机构；抹头前方严禁站人。</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（7）机器人移动过程中，不得将脚伸入底盘下方，严禁在机器人移动路径作业并应与设备保持1.5</w:t>
      </w:r>
      <w:r>
        <w:rPr>
          <w:rFonts w:hint="eastAsia" w:ascii="微软雅黑" w:hAnsi="微软雅黑" w:eastAsia="微软雅黑" w:cs="微软雅黑"/>
          <w:color w:val="auto"/>
          <w:szCs w:val="32"/>
        </w:rPr>
        <w:t>∽</w:t>
      </w:r>
      <w:r>
        <w:rPr>
          <w:rFonts w:hint="eastAsia" w:ascii="仿宋_GB2312" w:hAnsi="仿宋_GB2312" w:eastAsia="仿宋_GB2312" w:cs="仿宋_GB2312"/>
          <w:color w:val="auto"/>
          <w:szCs w:val="32"/>
        </w:rPr>
        <w:t>3米的安全距离。</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（8）严禁机器人带电清洗，不得用水冲洗电池、电机、电柜、电池接头、线缆接头。</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（9）严禁私拉电线从设备取电。</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（10）电池充电时应遵守安全规范，严禁溅水和金属屑，应配有干粉灭火器。</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（11）电池应轻拿轻放，禁止拖地。充满时检查电池充电器电压，及时停止充电防止过充。</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（12）手动操作各级运动时，不得超过电机最大转速。</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（13）手动操作机器人在特殊区域如电梯、坡道移动时，移动速度设置不得超过0.04m/s。</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（14）设备抹头、底盘连接板、严禁摆放盒饭饮料等。电控柜底盘连接板上方禁止摆放工具以及其他物品。</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（15）设备工作中，不得在料管上方进行作业。机器移动时，应注意是否有人员跨越料管作业。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（16）清洗、维修、保养设备时戴手套，完成后清点工具，避免将工具落在设备上。</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（17）机器人停止作业后，应将其停放在有遮挡区域，避免暴晒、雨淋。</w:t>
      </w:r>
    </w:p>
    <w:p>
      <w:pPr>
        <w:spacing w:line="560" w:lineRule="exact"/>
        <w:ind w:firstLine="640" w:firstLineChars="200"/>
        <w:jc w:val="both"/>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（18）通过施工升降机垂直运输时，进出门应留有1.9m高度空间。过桥板搭接时，两边搭接宽度不小于15cm</w:t>
      </w:r>
      <w:r>
        <w:rPr>
          <w:rFonts w:hint="eastAsia" w:ascii="仿宋_GB2312" w:hAnsi="仿宋_GB2312" w:eastAsia="仿宋_GB2312" w:cs="仿宋_GB2312"/>
          <w:color w:val="auto"/>
          <w:szCs w:val="32"/>
          <w:lang w:eastAsia="zh-CN"/>
        </w:rPr>
        <w:t>。</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（19）使用机器人作业前确认急停键是否正常。</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（20）为防止除操作员以外的人员误操作各按钮，应挂出警示牌以防误启动。</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（21）机器人系统有故障或异常时，禁止带病作业，应排除故障后再进行操作。</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（22）维修机器人时，应按下急停按钮并悬挂维修禁止启动标识，确认机器人的伺服电源已切断。</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（23）机器人长时间停机，夹具上不应该置物，必须保持空机状态。</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（24）在进行编程、测试或检修工作时，必须将机器人置于手动模式下，如不需要移动机器人时，必须及时释放使能开关。</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）严禁操作人员在升降装置下方进行</w:t>
      </w:r>
      <w:r>
        <w:rPr>
          <w:rFonts w:hint="eastAsia" w:ascii="仿宋_GB2312" w:hAnsi="仿宋_GB2312" w:eastAsia="仿宋_GB2312" w:cs="仿宋_GB2312"/>
          <w:color w:val="auto"/>
          <w:szCs w:val="32"/>
          <w:lang w:val="en-US" w:eastAsia="zh-CN"/>
        </w:rPr>
        <w:t>作业</w:t>
      </w:r>
      <w:r>
        <w:rPr>
          <w:rFonts w:hint="eastAsia" w:ascii="仿宋_GB2312" w:hAnsi="仿宋_GB2312" w:eastAsia="仿宋_GB2312" w:cs="仿宋_GB2312"/>
          <w:color w:val="auto"/>
          <w:szCs w:val="32"/>
        </w:rPr>
        <w:t>。</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）严格检查机器人作业区域，保证无凸起物干涉机器人作业。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）定期检查料管磨损程度，预估使用寿命，防止炸管。</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6.2 砂浆泵机、电动料斗车使用注意事项</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（1）砂浆泵与机器人距离保持3m以上，避免楼板集中堆载，大跨度楼板处设备尽量避免停靠在楼板跨中位置区域，严禁设备进入阳台等结构受力薄弱位置。</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（2）砂浆泵应专人进行操作和上料，上料时需检查料浆里无异物，避免因发生堵管，造成人员受伤或机械损伤。料管接头应与泵机连接牢固。</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（3）砂浆泵机进行泵料工作时，禁止靠近料管接头，不得触摸电机、高压油泵部位，以防出现人员伤亡事故。</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（4）使用砂浆泵机时，应随时注意压力表，当表显大于1.8MPa时（10m以内泵送），应及时关闭砂浆泵机。</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（5）清洗砂浆泵机时，料浆出料口前方禁止站人，避免因泵出异物造成伤亡事故。</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（6）应随时检查砂浆泵机、电动料斗车左侧握把和手刹的制动效果是否良好，若制动效果不合格，禁止操作，待维修后检验合格方可使用。</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（7）砂浆泵机、电动料斗车上施工电梯时，应拉手刹，关闭电源。</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（8）使用电动料斗车前应检查电量是否充足；电量不足20%时，禁止使用该电动料斗车。</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ascii="仿宋_GB2312" w:hAnsi="仿宋_GB2312" w:eastAsia="仿宋_GB2312" w:cs="仿宋_GB2312"/>
          <w:color w:val="auto"/>
          <w:szCs w:val="32"/>
        </w:rPr>
        <w:t>9）在室内推电动料斗车时，尤其是过道中拐弯时</w:t>
      </w:r>
      <w:r>
        <w:rPr>
          <w:rFonts w:hint="eastAsia" w:ascii="仿宋_GB2312" w:hAnsi="仿宋_GB2312" w:eastAsia="仿宋_GB2312" w:cs="仿宋_GB2312"/>
          <w:color w:val="auto"/>
          <w:szCs w:val="32"/>
        </w:rPr>
        <w:t>应</w:t>
      </w:r>
      <w:r>
        <w:rPr>
          <w:rFonts w:ascii="仿宋_GB2312" w:hAnsi="仿宋_GB2312" w:eastAsia="仿宋_GB2312" w:cs="仿宋_GB2312"/>
          <w:color w:val="auto"/>
          <w:szCs w:val="32"/>
        </w:rPr>
        <w:t>注意</w:t>
      </w:r>
      <w:r>
        <w:rPr>
          <w:rFonts w:hint="eastAsia" w:ascii="仿宋_GB2312" w:hAnsi="仿宋_GB2312" w:eastAsia="仿宋_GB2312" w:cs="仿宋_GB2312"/>
          <w:color w:val="auto"/>
          <w:szCs w:val="32"/>
        </w:rPr>
        <w:t>车把与墙壁的距离，避免夹手</w:t>
      </w:r>
      <w:r>
        <w:rPr>
          <w:rFonts w:ascii="仿宋_GB2312" w:hAnsi="仿宋_GB2312" w:eastAsia="仿宋_GB2312" w:cs="仿宋_GB2312"/>
          <w:color w:val="auto"/>
          <w:szCs w:val="32"/>
        </w:rPr>
        <w:t>。</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ascii="仿宋_GB2312" w:hAnsi="仿宋_GB2312" w:eastAsia="仿宋_GB2312" w:cs="仿宋_GB2312"/>
          <w:color w:val="auto"/>
          <w:szCs w:val="32"/>
        </w:rPr>
        <w:t>10）使用电动料斗车时，</w:t>
      </w:r>
      <w:r>
        <w:rPr>
          <w:rFonts w:hint="eastAsia" w:ascii="仿宋_GB2312" w:hAnsi="仿宋_GB2312" w:eastAsia="仿宋_GB2312" w:cs="仿宋_GB2312"/>
          <w:color w:val="auto"/>
          <w:szCs w:val="32"/>
        </w:rPr>
        <w:t>应</w:t>
      </w:r>
      <w:r>
        <w:rPr>
          <w:rFonts w:hint="eastAsia" w:ascii="仿宋" w:hAnsi="仿宋"/>
          <w:color w:val="auto"/>
          <w:szCs w:val="32"/>
        </w:rPr>
        <w:t>增加施工现场电缆线保护措施</w:t>
      </w:r>
      <w:r>
        <w:rPr>
          <w:rFonts w:ascii="仿宋_GB2312" w:hAnsi="仿宋_GB2312" w:eastAsia="仿宋_GB2312" w:cs="仿宋_GB2312"/>
          <w:color w:val="auto"/>
          <w:szCs w:val="32"/>
        </w:rPr>
        <w:t>。</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（11）电动料斗车使用时缓慢行驶，速度不得高于1m/s，附近有人时或转弯、上坡时速度不得高于0.5m/s；下坡时左手控制左侧握把制动，缓慢行驶。</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（12）电动料斗车静止时，需关闭电源，拉起手刹。</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（13）电动料斗车充电时应远离水源，并使用防水排插。</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（14）清洗砂浆泵机后，应检查工具是否齐全，禁止将工具留在砂浆泵机内，泵机防护滤网不得拆除。</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（15）泵机满料移动时禁止上人移动，防止重心前倾砸伤人员或斩断电缆。</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（16）送电顺序：连接插头→三级配电箱空开合闸→泵机空开合闸；断电顺序：三级配电箱空开分闸→泵机空开分闸→断开插头。</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（17）电机车翻斗在升降过程中，应保持砂浆的荷载重心，防止重心前倾，料斗翻倒，砸伤人员。</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ascii="仿宋_GB2312" w:hAnsi="仿宋_GB2312" w:eastAsia="仿宋_GB2312" w:cs="仿宋_GB2312"/>
          <w:color w:val="auto"/>
          <w:szCs w:val="32"/>
        </w:rPr>
        <w:t>18）每日必须对泵机、电动料斗车刹车装置进行检测，确保刹车装置正常，并对损坏的设备及时维修。</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6.3 搅拌机使用注意事项</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（1）使用前先将机器放平稳，电机接上地线；应了解搅拌机及螺旋送料机的重心位置，方便叉车抬起，或者吊机起吊。</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（2）在安装螺旋送料管时，若需绑带吊装，绑带应安装在牢固可靠位置。</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（3）安装时，需多人进行安装，必须佩戴防护手套。进行登高安装时，必须佩戴安全帽、安全带、防滑鞋，防止摔伤。</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（4）使用砂浆搅拌机前，施工人员需做好防护措施，佩戴好手套、口罩、安全帽、护目镜等防护用品。禁止将身体部位伸入搅拌机内（特别是手、头）。</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（5）雨天禁止打开操作箱作业。</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（6）搅拌机开始拌料时，不要靠近出料口，禁止他人触碰、操作搅拌机、气动元件、空压机等。</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（7）禁止在搅拌电机长时间运行下触碰搅拌电机，防止烫伤。</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（8）搅拌停止作业时，应按下急停按钮。</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ascii="仿宋_GB2312" w:hAnsi="仿宋_GB2312" w:eastAsia="仿宋_GB2312" w:cs="仿宋_GB2312"/>
          <w:color w:val="auto"/>
          <w:szCs w:val="32"/>
        </w:rPr>
        <w:t>9）搅拌机</w:t>
      </w:r>
      <w:r>
        <w:rPr>
          <w:rFonts w:hint="eastAsia" w:ascii="仿宋_GB2312" w:hAnsi="仿宋_GB2312" w:eastAsia="仿宋_GB2312" w:cs="仿宋_GB2312"/>
          <w:color w:val="auto"/>
          <w:szCs w:val="32"/>
        </w:rPr>
        <w:t>应配备漏电保护开关，</w:t>
      </w:r>
      <w:r>
        <w:rPr>
          <w:rFonts w:ascii="仿宋_GB2312" w:hAnsi="仿宋_GB2312" w:eastAsia="仿宋_GB2312" w:cs="仿宋_GB2312"/>
          <w:color w:val="auto"/>
          <w:szCs w:val="32"/>
        </w:rPr>
        <w:t>电源</w:t>
      </w:r>
      <w:r>
        <w:rPr>
          <w:rFonts w:hint="eastAsia" w:ascii="仿宋_GB2312" w:hAnsi="仿宋_GB2312" w:eastAsia="仿宋_GB2312" w:cs="仿宋_GB2312"/>
          <w:color w:val="auto"/>
          <w:szCs w:val="32"/>
        </w:rPr>
        <w:t>和</w:t>
      </w:r>
      <w:r>
        <w:rPr>
          <w:rFonts w:ascii="仿宋_GB2312" w:hAnsi="仿宋_GB2312" w:eastAsia="仿宋_GB2312" w:cs="仿宋_GB2312"/>
          <w:color w:val="auto"/>
          <w:szCs w:val="32"/>
        </w:rPr>
        <w:t>裸露在外的电机应做防水保护</w:t>
      </w:r>
      <w:r>
        <w:rPr>
          <w:rFonts w:hint="eastAsia" w:ascii="仿宋_GB2312" w:hAnsi="仿宋_GB2312" w:eastAsia="仿宋_GB2312" w:cs="仿宋_GB2312"/>
          <w:color w:val="auto"/>
          <w:szCs w:val="32"/>
        </w:rPr>
        <w:t>。</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6.4 其他注意事项</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（1）现场操作间必须独立，严禁操作间有明火出现。（电工操作间、设备维修间，设备清洗间，物品存放间）</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（2）不盲目操作任何带电设备，操作设备前确认设备在安全位置下操作；若需操控陌生设备，必须由专业设备操作人员带领，熟悉设备执行动作；设备断电重启后，确认各项参数无误情况下，执行设备动作。</w:t>
      </w:r>
    </w:p>
    <w:p>
      <w:pPr>
        <w:spacing w:line="560" w:lineRule="exact"/>
        <w:ind w:firstLine="640" w:firstLineChars="200"/>
        <w:jc w:val="both"/>
        <w:rPr>
          <w:rFonts w:ascii="微软雅黑" w:hAnsi="微软雅黑" w:eastAsia="微软雅黑" w:cs="仿宋_GB2312"/>
          <w:color w:val="auto"/>
          <w:szCs w:val="32"/>
        </w:rPr>
      </w:pPr>
      <w:r>
        <w:rPr>
          <w:rFonts w:hint="eastAsia" w:ascii="仿宋_GB2312" w:hAnsi="仿宋_GB2312" w:eastAsia="仿宋_GB2312" w:cs="仿宋_GB2312"/>
          <w:color w:val="auto"/>
          <w:szCs w:val="32"/>
        </w:rPr>
        <w:t>（3）高压水枪操作前确认高压水枪电源线</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水管、水枪头是否完好，高压水枪接地线必须确认接触良好方可使用，防止高压水枪由于电机线圈破损导致漏电发生。</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bookmarkStart w:id="21" w:name="_Toc175813243"/>
      <w:r>
        <w:rPr>
          <w:rFonts w:hint="eastAsia" w:ascii="方正中等线_GBK" w:hAnsi="方正中等线_GBK" w:eastAsia="方正中等线_GBK" w:cs="方正中等线_GBK"/>
          <w:b/>
          <w:bCs/>
          <w:color w:val="auto"/>
          <w:szCs w:val="32"/>
        </w:rPr>
        <w:t>7  检测</w:t>
      </w:r>
      <w:bookmarkEnd w:id="21"/>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7.1 机器人检验检测机构在按现行检测标准对内墙抹灰机器人进行常规项目检测同时，还应对智能控制部分进行补充检测，该部分检测内容应包含设备适用的相关标准及产品设计功能和指标。</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7.2 机器人检验检测机构应是由国家市场监督管理总局批准建设的质检中心，应具备国家水准的CMA、CNAS等检测资质。</w:t>
      </w:r>
    </w:p>
    <w:p>
      <w:pPr>
        <w:spacing w:line="560" w:lineRule="exact"/>
        <w:rPr>
          <w:rFonts w:ascii="仿宋_GB2312" w:hAnsi="仿宋_GB2312" w:eastAsia="仿宋_GB2312" w:cs="仿宋_GB2312"/>
          <w:color w:val="auto"/>
          <w:szCs w:val="32"/>
        </w:rPr>
      </w:pPr>
    </w:p>
    <w:p>
      <w:pPr>
        <w:spacing w:line="560" w:lineRule="exact"/>
        <w:jc w:val="center"/>
        <w:rPr>
          <w:rFonts w:ascii="方正中等线_GBK" w:hAnsi="方正中等线_GBK" w:eastAsia="方正中等线_GBK" w:cs="方正中等线_GBK"/>
          <w:b/>
          <w:bCs/>
          <w:color w:val="auto"/>
          <w:szCs w:val="32"/>
        </w:rPr>
      </w:pPr>
      <w:r>
        <w:rPr>
          <w:rFonts w:hint="eastAsia" w:ascii="方正中等线_GBK" w:hAnsi="方正中等线_GBK" w:eastAsia="方正中等线_GBK" w:cs="方正中等线_GBK"/>
          <w:b/>
          <w:bCs/>
          <w:color w:val="auto"/>
          <w:szCs w:val="32"/>
        </w:rPr>
        <w:t>8  使用与维护</w:t>
      </w:r>
    </w:p>
    <w:p>
      <w:pPr>
        <w:spacing w:line="560" w:lineRule="exact"/>
        <w:rPr>
          <w:rFonts w:ascii="仿宋_GB2312" w:hAnsi="仿宋_GB2312" w:eastAsia="仿宋_GB2312" w:cs="仿宋_GB2312"/>
          <w:color w:val="auto"/>
          <w:szCs w:val="32"/>
        </w:rPr>
      </w:pP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8.1 施工作业前，应根据机器人的各项关键参数制定现场实施方案，方案中需要明确各个系统中的各项参数、布置位置。专项施工方案通过后，施工单位应组织对相关人员开展专项施工方案及安全技术交底和专项施工作业培训（按照本指引附录A、B填写记录）。</w:t>
      </w:r>
    </w:p>
    <w:p>
      <w:pPr>
        <w:spacing w:line="560" w:lineRule="exact"/>
        <w:ind w:firstLine="640" w:firstLineChars="200"/>
        <w:jc w:val="both"/>
        <w:rPr>
          <w:rFonts w:ascii="仿宋_GB2312" w:hAnsi="仿宋_GB2312" w:eastAsia="仿宋_GB2312" w:cs="仿宋_GB2312"/>
          <w:color w:val="auto"/>
          <w:szCs w:val="32"/>
        </w:rPr>
      </w:pPr>
      <w:r>
        <w:rPr>
          <w:rFonts w:ascii="仿宋_GB2312" w:hAnsi="仿宋_GB2312" w:eastAsia="仿宋_GB2312" w:cs="仿宋_GB2312"/>
          <w:color w:val="auto"/>
          <w:szCs w:val="32"/>
        </w:rPr>
        <w:t>8.</w:t>
      </w:r>
      <w:r>
        <w:rPr>
          <w:rFonts w:hint="eastAsia" w:ascii="仿宋_GB2312" w:hAnsi="仿宋_GB2312" w:eastAsia="仿宋_GB2312" w:cs="仿宋_GB2312"/>
          <w:color w:val="auto"/>
          <w:szCs w:val="32"/>
        </w:rPr>
        <w:t>2</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在施工现场专用变压器供电的TN-S系统中，电气设备的金属外壳应与保护接地导体（PE）连接。保护接地导体（PE）必须采用绝缘导线。配电装置和电动机械相连接的保护接地导体（PE）应采用截面面积不小于4mm</w:t>
      </w:r>
      <w:r>
        <w:rPr>
          <w:rFonts w:hint="eastAsia" w:ascii="仿宋_GB2312" w:hAnsi="仿宋_GB2312" w:eastAsia="仿宋_GB2312" w:cs="仿宋_GB2312"/>
          <w:color w:val="auto"/>
          <w:szCs w:val="32"/>
          <w:vertAlign w:val="superscript"/>
        </w:rPr>
        <w:t>2</w:t>
      </w:r>
      <w:r>
        <w:rPr>
          <w:rFonts w:hint="eastAsia" w:ascii="仿宋" w:hAnsi="仿宋" w:cs="仿宋"/>
          <w:color w:val="auto"/>
          <w:szCs w:val="32"/>
        </w:rPr>
        <w:t>的绝缘多股软铜线。手持电动工具的保护接地导体（</w:t>
      </w:r>
      <w:r>
        <w:rPr>
          <w:rFonts w:hint="eastAsia" w:ascii="仿宋_GB2312" w:hAnsi="仿宋_GB2312" w:eastAsia="仿宋_GB2312" w:cs="仿宋_GB2312"/>
          <w:color w:val="auto"/>
          <w:szCs w:val="32"/>
        </w:rPr>
        <w:t>PE）应采用截面面积不小于1.5mm</w:t>
      </w:r>
      <w:r>
        <w:rPr>
          <w:rFonts w:hint="eastAsia" w:ascii="仿宋_GB2312" w:hAnsi="仿宋_GB2312" w:eastAsia="仿宋_GB2312" w:cs="仿宋_GB2312"/>
          <w:color w:val="auto"/>
          <w:szCs w:val="32"/>
          <w:vertAlign w:val="superscript"/>
        </w:rPr>
        <w:t>2</w:t>
      </w:r>
      <w:r>
        <w:rPr>
          <w:rFonts w:hint="eastAsia" w:ascii="仿宋" w:hAnsi="仿宋" w:cs="仿宋"/>
          <w:color w:val="auto"/>
          <w:szCs w:val="32"/>
        </w:rPr>
        <w:t>的绝缘多股软铜线。</w:t>
      </w:r>
      <w:r>
        <w:rPr>
          <w:rFonts w:hint="eastAsia" w:ascii="仿宋_GB2312" w:hAnsi="仿宋_GB2312" w:eastAsia="仿宋_GB2312" w:cs="仿宋_GB2312"/>
          <w:color w:val="auto"/>
          <w:szCs w:val="32"/>
        </w:rPr>
        <w:t>保护接地导体（PE）上严禁装设开关或熔断器，严禁通过工作电流，且严禁断线。剩余电流动作保护器应装设在总配电箱、开关箱靠近负荷的一侧，且不得用于启动电气设备的操作。开关箱中剩余电流动作保护器的额定剩余动作电流不应大于30mA，额定剩余电流动作时间不应大于0.1s。潮湿或有腐蚀介质场所的剩余电流动作保护器应采用防溅型产品，其额定剩余动作电流不应大于15mA，额定剩余电流动作时间不应大于0.1s。剩余电流动作保护器端子处中性导体（N）严禁与保护接地导体（PE）连接，不得重复接地或就近与设备金属外露导体连接。电缆芯线应包含全部工作导体和保护接地导体（PE）。TN-S系统采用三相四线供电时应选择五芯电缆，采用单相供电时应选择三芯电缆。中性导体（N）绝缘层应是淡蓝色，保护接地导体（PE）绝缘层应是黄/绿组合颜色，不得混用。橡皮护套铜芯软电缆应无接头，并应满足用电设备的使用要求。</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8.3 现场电气设备使用前，必须空载试转，方可使用，用电机械设备工作结束或停工一个小时以上，必须断开电源，防止电源线碾压。</w:t>
      </w:r>
    </w:p>
    <w:p>
      <w:pPr>
        <w:spacing w:line="560" w:lineRule="exact"/>
        <w:ind w:firstLine="640" w:firstLineChars="200"/>
        <w:jc w:val="both"/>
        <w:rPr>
          <w:rFonts w:ascii="仿宋_GB2312" w:hAnsi="仿宋_GB2312" w:eastAsia="仿宋_GB2312" w:cs="仿宋_GB2312"/>
          <w:color w:val="auto"/>
          <w:szCs w:val="32"/>
        </w:rPr>
      </w:pPr>
      <w:r>
        <w:rPr>
          <w:rFonts w:ascii="仿宋_GB2312" w:hAnsi="仿宋_GB2312" w:eastAsia="仿宋_GB2312" w:cs="仿宋_GB2312"/>
          <w:color w:val="auto"/>
          <w:szCs w:val="32"/>
        </w:rPr>
        <w:t>8.</w:t>
      </w:r>
      <w:r>
        <w:rPr>
          <w:rFonts w:hint="eastAsia" w:ascii="仿宋_GB2312" w:hAnsi="仿宋_GB2312" w:eastAsia="仿宋_GB2312" w:cs="仿宋_GB2312"/>
          <w:color w:val="auto"/>
          <w:szCs w:val="32"/>
        </w:rPr>
        <w:t>4</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各类电动工具使用（电动手枪钻，切割机，电焊机）应符合使用安全规范：使用电动手枪钻打孔，打磨时，不要用手接触钻头部位，用专用工具紧固钻头；切割机使用前，佩戴护目镜，任何情况下不要用手触摸切割片位置，每次使用后及时断开电源；电焊机属于特种作业设备，操作人员应持证上岗，按规范作业。</w:t>
      </w:r>
    </w:p>
    <w:p>
      <w:pPr>
        <w:spacing w:line="560" w:lineRule="exact"/>
        <w:ind w:firstLine="640" w:firstLineChars="200"/>
        <w:jc w:val="both"/>
        <w:rPr>
          <w:rFonts w:ascii="仿宋_GB2312" w:hAnsi="仿宋_GB2312" w:eastAsia="仿宋_GB2312" w:cs="仿宋_GB2312"/>
          <w:color w:val="auto"/>
          <w:szCs w:val="32"/>
        </w:rPr>
      </w:pPr>
      <w:r>
        <w:rPr>
          <w:rFonts w:ascii="仿宋_GB2312" w:hAnsi="仿宋_GB2312" w:eastAsia="仿宋_GB2312" w:cs="仿宋_GB2312"/>
          <w:color w:val="auto"/>
          <w:szCs w:val="32"/>
        </w:rPr>
        <w:t>8.</w:t>
      </w:r>
      <w:r>
        <w:rPr>
          <w:rFonts w:hint="eastAsia" w:ascii="仿宋_GB2312" w:hAnsi="仿宋_GB2312" w:eastAsia="仿宋_GB2312" w:cs="仿宋_GB2312"/>
          <w:color w:val="auto"/>
          <w:szCs w:val="32"/>
        </w:rPr>
        <w:t>5</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现场配电线路，应按负荷功率大小配备相应线径，满足设备需求，并采用专用保护线电缆，电缆芯中有用作保护接零的黄绿双色绝缘线，不得有接头，现场配电箱电源线必须采用专用电线杆，并且绝缘固定连接，严禁做活动和接触地面敷设，并且线路不得承受人为附加的非自然力。</w:t>
      </w:r>
    </w:p>
    <w:p>
      <w:pPr>
        <w:spacing w:line="560" w:lineRule="exact"/>
        <w:ind w:firstLine="640" w:firstLineChars="200"/>
        <w:jc w:val="both"/>
        <w:rPr>
          <w:rFonts w:ascii="仿宋_GB2312" w:hAnsi="仿宋_GB2312" w:eastAsia="仿宋_GB2312" w:cs="仿宋_GB2312"/>
          <w:color w:val="auto"/>
          <w:szCs w:val="32"/>
        </w:rPr>
      </w:pPr>
      <w:r>
        <w:rPr>
          <w:rFonts w:ascii="仿宋_GB2312" w:hAnsi="仿宋_GB2312" w:eastAsia="仿宋_GB2312" w:cs="仿宋_GB2312"/>
          <w:color w:val="auto"/>
          <w:szCs w:val="32"/>
        </w:rPr>
        <w:t>8.</w:t>
      </w:r>
      <w:r>
        <w:rPr>
          <w:rFonts w:hint="eastAsia" w:ascii="仿宋_GB2312" w:hAnsi="仿宋_GB2312" w:eastAsia="仿宋_GB2312" w:cs="仿宋_GB2312"/>
          <w:color w:val="auto"/>
          <w:szCs w:val="32"/>
        </w:rPr>
        <w:t>6</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严格执行水电分离原则，不得在电箱旁边进行洒水作业，水箱应距离配电箱</w:t>
      </w:r>
      <w:r>
        <w:rPr>
          <w:rFonts w:ascii="仿宋_GB2312" w:hAnsi="仿宋_GB2312" w:eastAsia="仿宋_GB2312" w:cs="仿宋_GB2312"/>
          <w:color w:val="auto"/>
          <w:szCs w:val="32"/>
        </w:rPr>
        <w:t>5</w:t>
      </w:r>
      <w:r>
        <w:rPr>
          <w:rFonts w:hint="eastAsia" w:ascii="仿宋_GB2312" w:hAnsi="仿宋_GB2312" w:eastAsia="仿宋_GB2312" w:cs="仿宋_GB2312"/>
          <w:color w:val="auto"/>
          <w:szCs w:val="32"/>
        </w:rPr>
        <w:t>米以上，狭小潮湿空间作业照明设备电压不得大于</w:t>
      </w:r>
      <w:r>
        <w:rPr>
          <w:rFonts w:ascii="仿宋_GB2312" w:hAnsi="仿宋_GB2312" w:eastAsia="仿宋_GB2312" w:cs="仿宋_GB2312"/>
          <w:color w:val="auto"/>
          <w:szCs w:val="32"/>
        </w:rPr>
        <w:t>12V</w:t>
      </w:r>
      <w:r>
        <w:rPr>
          <w:rFonts w:hint="eastAsia" w:ascii="仿宋_GB2312" w:hAnsi="仿宋_GB2312" w:eastAsia="仿宋_GB2312" w:cs="仿宋_GB2312"/>
          <w:color w:val="auto"/>
          <w:szCs w:val="32"/>
        </w:rPr>
        <w:t>，所有接触水源的设备必须有专用接地线，现场电池存放充电时，必须配备消防灭火器，必须使用带有漏保插排，带有电池的设备，充电时应分开存放。</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8.7 施工时必须注意电器工具的使用，所有的电器工具必须由安全部门检查合格后才能使用。电箱连接必须由专业电工操作连接，禁止私拉乱接。</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8.8 当使用电器工具时，应事先检查机械是否安全好用，设备电路是否正常，佩戴绝缘手套，穿绝缘胶鞋。电器工具必须连接拖线箱使用，严禁使用拖线板。</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9</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电气元件应选择合格产品，用电时应符合安全规范，严禁违规操作，定期检查电缆线路。</w:t>
      </w:r>
    </w:p>
    <w:p>
      <w:pPr>
        <w:spacing w:line="560" w:lineRule="exact"/>
        <w:ind w:firstLine="640" w:firstLineChars="200"/>
        <w:jc w:val="both"/>
        <w:rPr>
          <w:rFonts w:ascii="仿宋_GB2312" w:hAnsi="仿宋_GB2312" w:eastAsia="仿宋_GB2312" w:cs="仿宋_GB2312"/>
          <w:color w:val="auto"/>
          <w:szCs w:val="32"/>
        </w:rPr>
      </w:pPr>
      <w:r>
        <w:rPr>
          <w:rFonts w:ascii="仿宋_GB2312" w:hAnsi="仿宋_GB2312" w:eastAsia="仿宋_GB2312" w:cs="仿宋_GB2312"/>
          <w:color w:val="auto"/>
          <w:szCs w:val="32"/>
        </w:rPr>
        <w:t>8.</w:t>
      </w:r>
      <w:r>
        <w:rPr>
          <w:rFonts w:hint="eastAsia" w:ascii="仿宋_GB2312" w:hAnsi="仿宋_GB2312" w:eastAsia="仿宋_GB2312" w:cs="仿宋_GB2312"/>
          <w:color w:val="auto"/>
          <w:szCs w:val="32"/>
        </w:rPr>
        <w:t>10</w:t>
      </w:r>
      <w:r>
        <w:rPr>
          <w:rFonts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rPr>
        <w:t>将电池从充电器取下时，应先关闭充电器开关，再取下电池。</w:t>
      </w:r>
    </w:p>
    <w:p>
      <w:pPr>
        <w:spacing w:line="560" w:lineRule="exact"/>
        <w:ind w:firstLine="640" w:firstLineChars="200"/>
        <w:jc w:val="both"/>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8.11 施工单位应对内墙抹灰机器人进行每月定期检查，检查内容应符合本指引附录C的规定。</w:t>
      </w:r>
    </w:p>
    <w:p>
      <w:pPr>
        <w:widowControl/>
        <w:rPr>
          <w:rFonts w:ascii="微软雅黑" w:hAnsi="微软雅黑" w:eastAsia="微软雅黑" w:cs="方正中等线_GBK"/>
          <w:b/>
          <w:bCs/>
          <w:color w:val="auto"/>
          <w:szCs w:val="32"/>
        </w:rPr>
      </w:pPr>
      <w:bookmarkStart w:id="22" w:name="_Toc175813244"/>
      <w:r>
        <w:rPr>
          <w:rFonts w:ascii="微软雅黑" w:hAnsi="微软雅黑" w:eastAsia="微软雅黑" w:cs="方正中等线_GBK"/>
          <w:b/>
          <w:bCs/>
          <w:color w:val="auto"/>
          <w:szCs w:val="32"/>
        </w:rPr>
        <w:br w:type="page"/>
      </w:r>
    </w:p>
    <w:bookmarkEnd w:id="22"/>
    <w:p>
      <w:pPr>
        <w:pStyle w:val="51"/>
        <w:spacing w:before="0" w:after="0"/>
        <w:rPr>
          <w:rFonts w:ascii="微软雅黑" w:hAnsi="微软雅黑" w:eastAsia="微软雅黑" w:cs="仿宋_GB2312"/>
          <w:b w:val="0"/>
          <w:color w:val="auto"/>
          <w:sz w:val="32"/>
          <w:szCs w:val="32"/>
          <w14:ligatures w14:val="none"/>
        </w:rPr>
      </w:pPr>
      <w:bookmarkStart w:id="23" w:name="_Toc175813249"/>
      <w:r>
        <w:rPr>
          <w:rFonts w:hint="eastAsia" w:ascii="黑体" w:hAnsi="黑体" w:eastAsia="黑体" w:cs="黑体"/>
          <w:b w:val="0"/>
          <w:color w:val="auto"/>
          <w:kern w:val="0"/>
          <w:sz w:val="32"/>
          <w:szCs w:val="32"/>
          <w14:ligatures w14:val="none"/>
        </w:rPr>
        <w:t xml:space="preserve">附录A </w:t>
      </w:r>
      <w:bookmarkEnd w:id="23"/>
    </w:p>
    <w:p>
      <w:pPr>
        <w:jc w:val="center"/>
        <w:rPr>
          <w:rFonts w:ascii="方正小标宋简体" w:hAnsi="宋体" w:eastAsia="方正小标宋简体" w:cs="宋体"/>
          <w:bCs/>
          <w:color w:val="auto"/>
          <w:sz w:val="36"/>
          <w:szCs w:val="36"/>
          <w14:ligatures w14:val="none"/>
        </w:rPr>
      </w:pPr>
      <w:r>
        <w:rPr>
          <w:rFonts w:hint="eastAsia" w:ascii="方正小标宋简体" w:hAnsi="宋体" w:eastAsia="方正小标宋简体" w:cs="宋体"/>
          <w:bCs/>
          <w:color w:val="auto"/>
          <w:sz w:val="36"/>
          <w:szCs w:val="36"/>
          <w14:ligatures w14:val="none"/>
        </w:rPr>
        <w:t>安全技术交底记录</w:t>
      </w:r>
    </w:p>
    <w:tbl>
      <w:tblPr>
        <w:tblStyle w:val="2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2"/>
        <w:gridCol w:w="177"/>
        <w:gridCol w:w="964"/>
        <w:gridCol w:w="746"/>
        <w:gridCol w:w="700"/>
        <w:gridCol w:w="538"/>
        <w:gridCol w:w="737"/>
        <w:gridCol w:w="681"/>
        <w:gridCol w:w="496"/>
        <w:gridCol w:w="524"/>
        <w:gridCol w:w="23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7" w:type="dxa"/>
            <w:gridSpan w:val="1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安全技术交底卡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41" w:type="dxa"/>
            <w:gridSpan w:val="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表格编号</w:t>
            </w:r>
          </w:p>
        </w:tc>
        <w:tc>
          <w:tcPr>
            <w:tcW w:w="6776" w:type="dxa"/>
            <w:gridSpan w:val="10"/>
            <w:vAlign w:val="center"/>
          </w:tcPr>
          <w:p>
            <w:pPr>
              <w:spacing w:line="240" w:lineRule="exact"/>
              <w:jc w:val="center"/>
              <w:rPr>
                <w:rFonts w:ascii="宋体" w:hAnsi="宋体" w:eastAsia="宋体" w:cs="宋体"/>
                <w:b/>
                <w:bCs/>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1" w:type="dxa"/>
            <w:gridSpan w:val="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工程名称</w:t>
            </w:r>
          </w:p>
        </w:tc>
        <w:tc>
          <w:tcPr>
            <w:tcW w:w="6776" w:type="dxa"/>
            <w:gridSpan w:val="10"/>
            <w:vAlign w:val="center"/>
          </w:tcPr>
          <w:p>
            <w:pPr>
              <w:spacing w:line="240" w:lineRule="exact"/>
              <w:jc w:val="center"/>
              <w:rPr>
                <w:rFonts w:ascii="宋体" w:hAnsi="宋体" w:eastAsia="宋体" w:cs="宋体"/>
                <w:b/>
                <w:bCs/>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1" w:type="dxa"/>
            <w:gridSpan w:val="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楼栋号</w:t>
            </w:r>
          </w:p>
        </w:tc>
        <w:tc>
          <w:tcPr>
            <w:tcW w:w="964" w:type="dxa"/>
            <w:vAlign w:val="center"/>
          </w:tcPr>
          <w:p>
            <w:pPr>
              <w:spacing w:line="240" w:lineRule="exact"/>
              <w:jc w:val="center"/>
              <w:rPr>
                <w:rFonts w:ascii="宋体" w:hAnsi="宋体" w:eastAsia="宋体" w:cs="宋体"/>
                <w:b/>
                <w:bCs/>
                <w:color w:val="auto"/>
                <w:sz w:val="18"/>
                <w:szCs w:val="18"/>
                <w14:ligatures w14:val="none"/>
              </w:rPr>
            </w:pPr>
          </w:p>
        </w:tc>
        <w:tc>
          <w:tcPr>
            <w:tcW w:w="1446" w:type="dxa"/>
            <w:gridSpan w:val="2"/>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作业名称</w:t>
            </w:r>
          </w:p>
        </w:tc>
        <w:tc>
          <w:tcPr>
            <w:tcW w:w="1956" w:type="dxa"/>
            <w:gridSpan w:val="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内墙抹灰</w:t>
            </w:r>
          </w:p>
        </w:tc>
        <w:tc>
          <w:tcPr>
            <w:tcW w:w="1020" w:type="dxa"/>
            <w:gridSpan w:val="2"/>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工程量</w:t>
            </w:r>
          </w:p>
        </w:tc>
        <w:tc>
          <w:tcPr>
            <w:tcW w:w="1390" w:type="dxa"/>
            <w:gridSpan w:val="2"/>
            <w:vAlign w:val="center"/>
          </w:tcPr>
          <w:p>
            <w:pPr>
              <w:spacing w:line="240" w:lineRule="exact"/>
              <w:jc w:val="center"/>
              <w:rPr>
                <w:rFonts w:ascii="宋体" w:hAnsi="宋体" w:eastAsia="宋体" w:cs="宋体"/>
                <w:b/>
                <w:bCs/>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1" w:type="dxa"/>
            <w:gridSpan w:val="3"/>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分包公司</w:t>
            </w:r>
          </w:p>
        </w:tc>
        <w:tc>
          <w:tcPr>
            <w:tcW w:w="4366" w:type="dxa"/>
            <w:gridSpan w:val="6"/>
            <w:vAlign w:val="center"/>
          </w:tcPr>
          <w:p>
            <w:pPr>
              <w:spacing w:line="240" w:lineRule="exact"/>
              <w:jc w:val="center"/>
              <w:rPr>
                <w:rFonts w:ascii="宋体" w:hAnsi="宋体" w:eastAsia="宋体" w:cs="宋体"/>
                <w:b/>
                <w:bCs/>
                <w:color w:val="auto"/>
                <w:sz w:val="18"/>
                <w:szCs w:val="18"/>
                <w14:ligatures w14:val="none"/>
              </w:rPr>
            </w:pPr>
          </w:p>
        </w:tc>
        <w:tc>
          <w:tcPr>
            <w:tcW w:w="1020" w:type="dxa"/>
            <w:gridSpan w:val="2"/>
            <w:vAlign w:val="center"/>
          </w:tcPr>
          <w:p>
            <w:pPr>
              <w:spacing w:line="240" w:lineRule="exact"/>
              <w:jc w:val="center"/>
              <w:rPr>
                <w:rFonts w:ascii="宋体" w:hAnsi="宋体" w:eastAsia="宋体" w:cs="宋体"/>
                <w:b/>
                <w:bCs/>
                <w:color w:val="auto"/>
                <w:sz w:val="18"/>
                <w:szCs w:val="18"/>
                <w14:ligatures w14:val="none"/>
              </w:rPr>
            </w:pPr>
            <w:r>
              <w:rPr>
                <w:rFonts w:hint="eastAsia" w:ascii="宋体" w:hAnsi="宋体" w:eastAsia="宋体" w:cs="宋体"/>
                <w:b/>
                <w:bCs/>
                <w:color w:val="auto"/>
                <w:sz w:val="18"/>
                <w:szCs w:val="18"/>
                <w14:ligatures w14:val="none"/>
              </w:rPr>
              <w:t>负责人</w:t>
            </w:r>
          </w:p>
        </w:tc>
        <w:tc>
          <w:tcPr>
            <w:tcW w:w="1390" w:type="dxa"/>
            <w:gridSpan w:val="2"/>
            <w:vAlign w:val="center"/>
          </w:tcPr>
          <w:p>
            <w:pPr>
              <w:spacing w:line="240" w:lineRule="exact"/>
              <w:jc w:val="center"/>
              <w:rPr>
                <w:rFonts w:ascii="宋体" w:hAnsi="宋体" w:eastAsia="宋体" w:cs="宋体"/>
                <w:b/>
                <w:bCs/>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2" w:hRule="atLeast"/>
        </w:trPr>
        <w:tc>
          <w:tcPr>
            <w:tcW w:w="8217" w:type="dxa"/>
            <w:gridSpan w:val="13"/>
          </w:tcPr>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交底内容：</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1、工程概况</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2、施工布置</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3、技术参数</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4、施工工艺</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5、施工流程</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6、施工质量保证措施</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7、施工安全保证措施</w:t>
            </w:r>
          </w:p>
          <w:p>
            <w:pPr>
              <w:spacing w:line="320" w:lineRule="exact"/>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8、应急救援措施</w:t>
            </w:r>
          </w:p>
          <w:p>
            <w:pPr>
              <w:spacing w:line="320" w:lineRule="exact"/>
              <w:rPr>
                <w:rFonts w:ascii="宋体" w:hAnsi="宋体" w:eastAsia="宋体" w:cs="宋体"/>
                <w:color w:val="auto"/>
                <w:sz w:val="18"/>
                <w:szCs w:val="18"/>
                <w14:ligatures w14:val="none"/>
              </w:rPr>
            </w:pPr>
          </w:p>
          <w:p>
            <w:pPr>
              <w:spacing w:line="320" w:lineRule="exact"/>
              <w:rPr>
                <w:rFonts w:ascii="宋体" w:hAnsi="宋体" w:eastAsia="宋体" w:cs="宋体"/>
                <w:color w:val="auto"/>
                <w:sz w:val="18"/>
                <w:szCs w:val="18"/>
                <w14:ligatures w14:val="none"/>
              </w:rPr>
            </w:pPr>
          </w:p>
          <w:p>
            <w:pPr>
              <w:spacing w:line="320" w:lineRule="exact"/>
              <w:rPr>
                <w:rFonts w:ascii="宋体" w:hAnsi="宋体" w:eastAsia="宋体" w:cs="宋体"/>
                <w:color w:val="auto"/>
                <w:sz w:val="18"/>
                <w:szCs w:val="18"/>
                <w14:ligatures w14:val="none"/>
              </w:rPr>
            </w:pPr>
          </w:p>
          <w:p>
            <w:pPr>
              <w:spacing w:line="320" w:lineRule="exact"/>
              <w:rPr>
                <w:rFonts w:ascii="宋体" w:hAnsi="宋体" w:eastAsia="宋体" w:cs="宋体"/>
                <w:color w:val="auto"/>
                <w:sz w:val="18"/>
                <w:szCs w:val="18"/>
                <w14:ligatures w14:val="none"/>
              </w:rPr>
            </w:pPr>
          </w:p>
          <w:p>
            <w:pPr>
              <w:spacing w:line="320" w:lineRule="exact"/>
              <w:rPr>
                <w:rFonts w:ascii="宋体" w:hAnsi="宋体" w:eastAsia="宋体" w:cs="宋体"/>
                <w:color w:val="auto"/>
                <w:sz w:val="18"/>
                <w:szCs w:val="18"/>
                <w14:ligatures w14:val="none"/>
              </w:rPr>
            </w:pPr>
          </w:p>
          <w:p>
            <w:pPr>
              <w:spacing w:line="320" w:lineRule="exact"/>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62" w:type="dxa"/>
            <w:vMerge w:val="restart"/>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会</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签</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栏</w:t>
            </w:r>
          </w:p>
        </w:tc>
        <w:tc>
          <w:tcPr>
            <w:tcW w:w="702"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质量</w:t>
            </w:r>
          </w:p>
        </w:tc>
        <w:tc>
          <w:tcPr>
            <w:tcW w:w="1141" w:type="dxa"/>
            <w:gridSpan w:val="2"/>
            <w:vAlign w:val="center"/>
          </w:tcPr>
          <w:p>
            <w:pPr>
              <w:spacing w:line="320" w:lineRule="exact"/>
              <w:jc w:val="center"/>
              <w:rPr>
                <w:rFonts w:ascii="宋体" w:hAnsi="宋体" w:eastAsia="宋体" w:cs="宋体"/>
                <w:color w:val="auto"/>
                <w:sz w:val="18"/>
                <w:szCs w:val="18"/>
                <w14:ligatures w14:val="none"/>
              </w:rPr>
            </w:pPr>
          </w:p>
        </w:tc>
        <w:tc>
          <w:tcPr>
            <w:tcW w:w="746"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安全</w:t>
            </w:r>
          </w:p>
        </w:tc>
        <w:tc>
          <w:tcPr>
            <w:tcW w:w="1238" w:type="dxa"/>
            <w:gridSpan w:val="2"/>
            <w:vAlign w:val="center"/>
          </w:tcPr>
          <w:p>
            <w:pPr>
              <w:spacing w:line="320" w:lineRule="exact"/>
              <w:jc w:val="center"/>
              <w:rPr>
                <w:rFonts w:ascii="宋体" w:hAnsi="宋体" w:eastAsia="宋体" w:cs="宋体"/>
                <w:color w:val="auto"/>
                <w:sz w:val="18"/>
                <w:szCs w:val="18"/>
                <w14:ligatures w14:val="none"/>
              </w:rPr>
            </w:pPr>
          </w:p>
        </w:tc>
        <w:tc>
          <w:tcPr>
            <w:tcW w:w="737"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绿色</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施工</w:t>
            </w:r>
          </w:p>
        </w:tc>
        <w:tc>
          <w:tcPr>
            <w:tcW w:w="1177" w:type="dxa"/>
            <w:gridSpan w:val="2"/>
            <w:vAlign w:val="center"/>
          </w:tcPr>
          <w:p>
            <w:pPr>
              <w:spacing w:line="320" w:lineRule="exact"/>
              <w:jc w:val="center"/>
              <w:rPr>
                <w:rFonts w:ascii="宋体" w:hAnsi="宋体" w:eastAsia="宋体" w:cs="宋体"/>
                <w:color w:val="auto"/>
                <w:sz w:val="18"/>
                <w:szCs w:val="18"/>
                <w14:ligatures w14:val="none"/>
              </w:rPr>
            </w:pPr>
          </w:p>
        </w:tc>
        <w:tc>
          <w:tcPr>
            <w:tcW w:w="761" w:type="dxa"/>
            <w:gridSpan w:val="2"/>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审批人</w:t>
            </w:r>
          </w:p>
        </w:tc>
        <w:tc>
          <w:tcPr>
            <w:tcW w:w="1153" w:type="dxa"/>
            <w:vAlign w:val="center"/>
          </w:tcPr>
          <w:p>
            <w:pPr>
              <w:spacing w:line="320" w:lineRule="exact"/>
              <w:jc w:val="center"/>
              <w:rPr>
                <w:rFonts w:ascii="宋体" w:hAnsi="宋体" w:eastAsia="宋体" w:cs="宋体"/>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62" w:type="dxa"/>
            <w:vMerge w:val="continue"/>
            <w:vAlign w:val="center"/>
          </w:tcPr>
          <w:p>
            <w:pPr>
              <w:spacing w:line="320" w:lineRule="exact"/>
              <w:jc w:val="center"/>
              <w:rPr>
                <w:rFonts w:ascii="宋体" w:hAnsi="宋体" w:eastAsia="宋体" w:cs="宋体"/>
                <w:color w:val="auto"/>
                <w:sz w:val="18"/>
                <w:szCs w:val="18"/>
                <w14:ligatures w14:val="none"/>
              </w:rPr>
            </w:pPr>
          </w:p>
        </w:tc>
        <w:tc>
          <w:tcPr>
            <w:tcW w:w="702"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时间</w:t>
            </w:r>
          </w:p>
        </w:tc>
        <w:tc>
          <w:tcPr>
            <w:tcW w:w="1141" w:type="dxa"/>
            <w:gridSpan w:val="2"/>
            <w:vAlign w:val="center"/>
          </w:tcPr>
          <w:p>
            <w:pPr>
              <w:spacing w:line="320" w:lineRule="exact"/>
              <w:jc w:val="center"/>
              <w:rPr>
                <w:rFonts w:ascii="宋体" w:hAnsi="宋体" w:eastAsia="宋体" w:cs="宋体"/>
                <w:color w:val="auto"/>
                <w:sz w:val="18"/>
                <w:szCs w:val="18"/>
                <w14:ligatures w14:val="none"/>
              </w:rPr>
            </w:pPr>
          </w:p>
        </w:tc>
        <w:tc>
          <w:tcPr>
            <w:tcW w:w="746"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时间</w:t>
            </w:r>
          </w:p>
        </w:tc>
        <w:tc>
          <w:tcPr>
            <w:tcW w:w="1238" w:type="dxa"/>
            <w:gridSpan w:val="2"/>
            <w:vAlign w:val="center"/>
          </w:tcPr>
          <w:p>
            <w:pPr>
              <w:spacing w:line="320" w:lineRule="exact"/>
              <w:jc w:val="center"/>
              <w:rPr>
                <w:rFonts w:ascii="宋体" w:hAnsi="宋体" w:eastAsia="宋体" w:cs="宋体"/>
                <w:color w:val="auto"/>
                <w:sz w:val="18"/>
                <w:szCs w:val="18"/>
                <w14:ligatures w14:val="none"/>
              </w:rPr>
            </w:pPr>
          </w:p>
        </w:tc>
        <w:tc>
          <w:tcPr>
            <w:tcW w:w="737"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时间</w:t>
            </w:r>
          </w:p>
        </w:tc>
        <w:tc>
          <w:tcPr>
            <w:tcW w:w="1177" w:type="dxa"/>
            <w:gridSpan w:val="2"/>
            <w:vAlign w:val="center"/>
          </w:tcPr>
          <w:p>
            <w:pPr>
              <w:spacing w:line="320" w:lineRule="exact"/>
              <w:jc w:val="center"/>
              <w:rPr>
                <w:rFonts w:ascii="宋体" w:hAnsi="宋体" w:eastAsia="宋体" w:cs="宋体"/>
                <w:color w:val="auto"/>
                <w:sz w:val="18"/>
                <w:szCs w:val="18"/>
                <w14:ligatures w14:val="none"/>
              </w:rPr>
            </w:pPr>
          </w:p>
        </w:tc>
        <w:tc>
          <w:tcPr>
            <w:tcW w:w="761" w:type="dxa"/>
            <w:gridSpan w:val="2"/>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时间</w:t>
            </w:r>
          </w:p>
        </w:tc>
        <w:tc>
          <w:tcPr>
            <w:tcW w:w="1153" w:type="dxa"/>
            <w:vAlign w:val="center"/>
          </w:tcPr>
          <w:p>
            <w:pPr>
              <w:spacing w:line="320" w:lineRule="exact"/>
              <w:jc w:val="center"/>
              <w:rPr>
                <w:rFonts w:ascii="宋体" w:hAnsi="宋体" w:eastAsia="宋体" w:cs="宋体"/>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62"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交</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底</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人</w:t>
            </w:r>
          </w:p>
        </w:tc>
        <w:tc>
          <w:tcPr>
            <w:tcW w:w="1843" w:type="dxa"/>
            <w:gridSpan w:val="3"/>
            <w:vAlign w:val="center"/>
          </w:tcPr>
          <w:p>
            <w:pPr>
              <w:spacing w:line="320" w:lineRule="exact"/>
              <w:jc w:val="both"/>
              <w:rPr>
                <w:rFonts w:ascii="宋体" w:hAnsi="宋体" w:eastAsia="宋体" w:cs="宋体"/>
                <w:color w:val="auto"/>
                <w:sz w:val="18"/>
                <w:szCs w:val="18"/>
                <w14:ligatures w14:val="none"/>
              </w:rPr>
            </w:pPr>
          </w:p>
        </w:tc>
        <w:tc>
          <w:tcPr>
            <w:tcW w:w="746"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被</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交</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底</w:t>
            </w:r>
          </w:p>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人</w:t>
            </w:r>
          </w:p>
        </w:tc>
        <w:tc>
          <w:tcPr>
            <w:tcW w:w="5066" w:type="dxa"/>
            <w:gridSpan w:val="8"/>
            <w:vAlign w:val="center"/>
          </w:tcPr>
          <w:p>
            <w:pPr>
              <w:spacing w:line="320" w:lineRule="exact"/>
              <w:jc w:val="center"/>
              <w:rPr>
                <w:rFonts w:ascii="宋体" w:hAnsi="宋体" w:eastAsia="宋体" w:cs="宋体"/>
                <w:color w:val="auto"/>
                <w:sz w:val="18"/>
                <w:szCs w:val="18"/>
                <w14:ligatures w14:val="none"/>
              </w:rPr>
            </w:pPr>
          </w:p>
          <w:p>
            <w:pPr>
              <w:spacing w:line="320" w:lineRule="exact"/>
              <w:jc w:val="both"/>
              <w:rPr>
                <w:rFonts w:ascii="宋体" w:hAnsi="宋体" w:eastAsia="宋体" w:cs="宋体"/>
                <w:color w:val="auto"/>
                <w:sz w:val="18"/>
                <w:szCs w:val="1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dxa"/>
            <w:vAlign w:val="center"/>
          </w:tcPr>
          <w:p>
            <w:pPr>
              <w:spacing w:line="320" w:lineRule="exact"/>
              <w:jc w:val="center"/>
              <w:rPr>
                <w:rFonts w:ascii="宋体" w:hAnsi="宋体" w:eastAsia="宋体" w:cs="宋体"/>
                <w:color w:val="auto"/>
                <w:sz w:val="18"/>
                <w:szCs w:val="18"/>
                <w14:ligatures w14:val="none"/>
              </w:rPr>
            </w:pPr>
            <w:r>
              <w:rPr>
                <w:rFonts w:hint="eastAsia" w:ascii="宋体" w:hAnsi="宋体" w:eastAsia="宋体" w:cs="宋体"/>
                <w:color w:val="auto"/>
                <w:sz w:val="18"/>
                <w:szCs w:val="18"/>
                <w14:ligatures w14:val="none"/>
              </w:rPr>
              <w:t>交底时间</w:t>
            </w:r>
          </w:p>
        </w:tc>
        <w:tc>
          <w:tcPr>
            <w:tcW w:w="7655" w:type="dxa"/>
            <w:gridSpan w:val="12"/>
          </w:tcPr>
          <w:p>
            <w:pPr>
              <w:spacing w:line="320" w:lineRule="exact"/>
              <w:jc w:val="center"/>
              <w:rPr>
                <w:rFonts w:ascii="宋体" w:hAnsi="宋体" w:eastAsia="宋体" w:cs="宋体"/>
                <w:color w:val="auto"/>
                <w:sz w:val="18"/>
                <w:szCs w:val="18"/>
                <w14:ligatures w14:val="none"/>
              </w:rPr>
            </w:pPr>
          </w:p>
        </w:tc>
      </w:tr>
    </w:tbl>
    <w:p>
      <w:pPr>
        <w:rPr>
          <w:rFonts w:ascii="微软雅黑" w:hAnsi="微软雅黑" w:eastAsia="微软雅黑"/>
          <w:color w:val="auto"/>
        </w:rPr>
      </w:pPr>
      <w:r>
        <w:rPr>
          <w:rFonts w:hint="eastAsia" w:ascii="微软雅黑" w:hAnsi="微软雅黑" w:eastAsia="微软雅黑"/>
          <w:color w:val="auto"/>
        </w:rPr>
        <w:br w:type="page"/>
      </w:r>
    </w:p>
    <w:p>
      <w:pPr>
        <w:pStyle w:val="51"/>
        <w:spacing w:before="0" w:after="0"/>
        <w:jc w:val="both"/>
        <w:rPr>
          <w:rFonts w:ascii="黑体" w:hAnsi="黑体" w:eastAsia="黑体" w:cs="黑体"/>
          <w:b w:val="0"/>
          <w:color w:val="auto"/>
          <w:kern w:val="0"/>
          <w:sz w:val="32"/>
          <w:szCs w:val="32"/>
          <w14:ligatures w14:val="none"/>
        </w:rPr>
      </w:pPr>
      <w:bookmarkStart w:id="24" w:name="_Toc171692840"/>
      <w:bookmarkStart w:id="25" w:name="_Toc171693046"/>
      <w:bookmarkStart w:id="26" w:name="_Toc171693225"/>
      <w:bookmarkStart w:id="27" w:name="_Toc175813250"/>
      <w:r>
        <w:rPr>
          <w:rFonts w:hint="eastAsia" w:ascii="黑体" w:hAnsi="黑体" w:eastAsia="黑体" w:cs="黑体"/>
          <w:b w:val="0"/>
          <w:color w:val="auto"/>
          <w:kern w:val="0"/>
          <w:sz w:val="32"/>
          <w:szCs w:val="32"/>
          <w14:ligatures w14:val="none"/>
        </w:rPr>
        <w:t>附录B</w:t>
      </w:r>
      <w:bookmarkEnd w:id="24"/>
      <w:bookmarkEnd w:id="25"/>
      <w:bookmarkEnd w:id="26"/>
      <w:bookmarkStart w:id="28" w:name="_Toc32142"/>
      <w:r>
        <w:rPr>
          <w:rFonts w:hint="eastAsia" w:ascii="黑体" w:hAnsi="黑体" w:eastAsia="黑体" w:cs="黑体"/>
          <w:b w:val="0"/>
          <w:color w:val="auto"/>
          <w:kern w:val="0"/>
          <w:sz w:val="32"/>
          <w:szCs w:val="32"/>
          <w14:ligatures w14:val="none"/>
        </w:rPr>
        <w:t xml:space="preserve"> </w:t>
      </w:r>
      <w:bookmarkEnd w:id="27"/>
    </w:p>
    <w:p>
      <w:pPr>
        <w:jc w:val="center"/>
        <w:rPr>
          <w:rFonts w:ascii="微软雅黑" w:hAnsi="微软雅黑" w:eastAsia="微软雅黑" w:cs="宋体"/>
          <w:bCs/>
          <w:color w:val="auto"/>
          <w:sz w:val="36"/>
          <w:szCs w:val="36"/>
          <w14:ligatures w14:val="none"/>
        </w:rPr>
      </w:pPr>
      <w:r>
        <w:rPr>
          <w:rFonts w:hint="eastAsia" w:ascii="方正小标宋简体" w:hAnsi="宋体" w:eastAsia="方正小标宋简体" w:cs="宋体"/>
          <w:bCs/>
          <w:color w:val="auto"/>
          <w:sz w:val="36"/>
          <w:szCs w:val="36"/>
          <w14:ligatures w14:val="none"/>
        </w:rPr>
        <w:t>安全教育记录</w:t>
      </w:r>
      <w:bookmarkEnd w:id="28"/>
    </w:p>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2"/>
          <w:szCs w:val="22"/>
          <w14:ligatures w14:val="none"/>
        </w:rPr>
        <w:t>教育类别：进场安全教育         教育课时：  小时            年  月  日</w:t>
      </w:r>
    </w:p>
    <w:tbl>
      <w:tblPr>
        <w:tblStyle w:val="23"/>
        <w:tblW w:w="883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2086"/>
        <w:gridCol w:w="2214"/>
        <w:gridCol w:w="1314"/>
        <w:gridCol w:w="122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1135"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单位名称</w:t>
            </w:r>
          </w:p>
        </w:tc>
        <w:tc>
          <w:tcPr>
            <w:tcW w:w="2086" w:type="dxa"/>
            <w:vAlign w:val="center"/>
          </w:tcPr>
          <w:p>
            <w:pPr>
              <w:jc w:val="center"/>
              <w:rPr>
                <w:rFonts w:ascii="宋体" w:hAnsi="宋体" w:eastAsia="宋体" w:cs="宋体"/>
                <w:b/>
                <w:bCs/>
                <w:color w:val="auto"/>
                <w:sz w:val="21"/>
                <w:szCs w:val="21"/>
                <w14:ligatures w14:val="none"/>
              </w:rPr>
            </w:pPr>
          </w:p>
        </w:tc>
        <w:tc>
          <w:tcPr>
            <w:tcW w:w="2214"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主讲单位(部门)</w:t>
            </w:r>
          </w:p>
        </w:tc>
        <w:tc>
          <w:tcPr>
            <w:tcW w:w="1314" w:type="dxa"/>
            <w:vAlign w:val="center"/>
          </w:tcPr>
          <w:p>
            <w:pPr>
              <w:jc w:val="center"/>
              <w:rPr>
                <w:rFonts w:ascii="宋体" w:hAnsi="宋体" w:eastAsia="宋体" w:cs="宋体"/>
                <w:b/>
                <w:bCs/>
                <w:color w:val="auto"/>
                <w:sz w:val="21"/>
                <w:szCs w:val="21"/>
                <w14:ligatures w14:val="none"/>
              </w:rPr>
            </w:pPr>
          </w:p>
        </w:tc>
        <w:tc>
          <w:tcPr>
            <w:tcW w:w="1229"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主讲人</w:t>
            </w:r>
          </w:p>
        </w:tc>
        <w:tc>
          <w:tcPr>
            <w:tcW w:w="859" w:type="dxa"/>
            <w:vAlign w:val="center"/>
          </w:tcPr>
          <w:p>
            <w:pPr>
              <w:jc w:val="center"/>
              <w:rPr>
                <w:rFonts w:ascii="宋体" w:hAnsi="宋体" w:eastAsia="宋体" w:cs="宋体"/>
                <w:b/>
                <w:bCs/>
                <w:color w:val="auto"/>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135"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工程名称</w:t>
            </w:r>
          </w:p>
        </w:tc>
        <w:tc>
          <w:tcPr>
            <w:tcW w:w="2086" w:type="dxa"/>
            <w:vAlign w:val="center"/>
          </w:tcPr>
          <w:p>
            <w:pPr>
              <w:jc w:val="center"/>
              <w:rPr>
                <w:rFonts w:ascii="宋体" w:hAnsi="宋体" w:eastAsia="宋体" w:cs="宋体"/>
                <w:b/>
                <w:bCs/>
                <w:color w:val="auto"/>
                <w:sz w:val="21"/>
                <w:szCs w:val="21"/>
                <w14:ligatures w14:val="none"/>
              </w:rPr>
            </w:pPr>
          </w:p>
        </w:tc>
        <w:tc>
          <w:tcPr>
            <w:tcW w:w="2214"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受教育单位(部门)</w:t>
            </w:r>
          </w:p>
        </w:tc>
        <w:tc>
          <w:tcPr>
            <w:tcW w:w="1314" w:type="dxa"/>
            <w:vAlign w:val="center"/>
          </w:tcPr>
          <w:p>
            <w:pPr>
              <w:jc w:val="center"/>
              <w:rPr>
                <w:rFonts w:ascii="宋体" w:hAnsi="宋体" w:eastAsia="宋体" w:cs="宋体"/>
                <w:b/>
                <w:bCs/>
                <w:color w:val="auto"/>
                <w:sz w:val="21"/>
                <w:szCs w:val="21"/>
                <w14:ligatures w14:val="none"/>
              </w:rPr>
            </w:pPr>
          </w:p>
        </w:tc>
        <w:tc>
          <w:tcPr>
            <w:tcW w:w="1229" w:type="dxa"/>
            <w:vAlign w:val="center"/>
          </w:tcPr>
          <w:p>
            <w:pPr>
              <w:jc w:val="center"/>
              <w:rPr>
                <w:rFonts w:ascii="宋体" w:hAnsi="宋体" w:eastAsia="宋体" w:cs="宋体"/>
                <w:b/>
                <w:bCs/>
                <w:color w:val="auto"/>
                <w:sz w:val="21"/>
                <w:szCs w:val="21"/>
                <w14:ligatures w14:val="none"/>
              </w:rPr>
            </w:pPr>
            <w:r>
              <w:rPr>
                <w:rFonts w:hint="eastAsia" w:ascii="宋体" w:hAnsi="宋体" w:eastAsia="宋体" w:cs="宋体"/>
                <w:b/>
                <w:bCs/>
                <w:color w:val="auto"/>
                <w:sz w:val="21"/>
                <w:szCs w:val="21"/>
                <w14:ligatures w14:val="none"/>
              </w:rPr>
              <w:t>人数</w:t>
            </w:r>
          </w:p>
        </w:tc>
        <w:tc>
          <w:tcPr>
            <w:tcW w:w="859" w:type="dxa"/>
            <w:vAlign w:val="center"/>
          </w:tcPr>
          <w:p>
            <w:pPr>
              <w:jc w:val="center"/>
              <w:rPr>
                <w:rFonts w:ascii="宋体" w:hAnsi="宋体" w:eastAsia="宋体" w:cs="宋体"/>
                <w:b/>
                <w:bCs/>
                <w:color w:val="auto"/>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9" w:hRule="atLeast"/>
        </w:trPr>
        <w:tc>
          <w:tcPr>
            <w:tcW w:w="8837" w:type="dxa"/>
            <w:gridSpan w:val="6"/>
            <w:vAlign w:val="center"/>
          </w:tcPr>
          <w:p>
            <w:pPr>
              <w:pStyle w:val="54"/>
              <w:rPr>
                <w:rFonts w:ascii="宋体" w:hAnsi="宋体" w:eastAsia="宋体" w:cs="宋体"/>
                <w:color w:val="auto"/>
                <w:sz w:val="21"/>
                <w:szCs w:val="21"/>
              </w:rPr>
            </w:pPr>
            <w:r>
              <w:rPr>
                <w:rFonts w:hint="eastAsia" w:ascii="宋体" w:hAnsi="宋体" w:eastAsia="宋体" w:cs="宋体"/>
                <w:color w:val="auto"/>
                <w:sz w:val="21"/>
                <w:szCs w:val="21"/>
              </w:rPr>
              <w:t xml:space="preserve">安全教育内容： </w:t>
            </w: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p>
            <w:pPr>
              <w:pStyle w:val="54"/>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9" w:hRule="atLeast"/>
        </w:trPr>
        <w:tc>
          <w:tcPr>
            <w:tcW w:w="8837" w:type="dxa"/>
            <w:gridSpan w:val="6"/>
            <w:vAlign w:val="center"/>
          </w:tcPr>
          <w:p>
            <w:pPr>
              <w:pStyle w:val="54"/>
              <w:rPr>
                <w:rFonts w:ascii="微软雅黑" w:hAnsi="微软雅黑" w:eastAsia="微软雅黑"/>
                <w:color w:val="auto"/>
                <w:sz w:val="18"/>
                <w:szCs w:val="18"/>
              </w:rPr>
            </w:pPr>
            <w:r>
              <w:rPr>
                <w:rFonts w:hint="eastAsia" w:ascii="微软雅黑" w:hAnsi="微软雅黑" w:eastAsia="微软雅黑"/>
                <w:color w:val="auto"/>
                <w:sz w:val="18"/>
                <w:szCs w:val="18"/>
              </w:rPr>
              <w:t>参加对象：</w:t>
            </w:r>
            <w:r>
              <w:rPr>
                <w:rFonts w:ascii="微软雅黑" w:hAnsi="微软雅黑" w:eastAsia="微软雅黑"/>
                <w:color w:val="auto"/>
                <w:sz w:val="18"/>
                <w:szCs w:val="18"/>
              </w:rPr>
              <w:t>(</w:t>
            </w:r>
            <w:r>
              <w:rPr>
                <w:rFonts w:hint="eastAsia" w:ascii="微软雅黑" w:hAnsi="微软雅黑" w:eastAsia="微软雅黑"/>
                <w:color w:val="auto"/>
                <w:sz w:val="18"/>
                <w:szCs w:val="18"/>
              </w:rPr>
              <w:t>签名</w:t>
            </w:r>
            <w:r>
              <w:rPr>
                <w:rFonts w:ascii="微软雅黑" w:hAnsi="微软雅黑" w:eastAsia="微软雅黑"/>
                <w:color w:val="auto"/>
                <w:sz w:val="18"/>
                <w:szCs w:val="18"/>
              </w:rPr>
              <w:t>)</w:t>
            </w:r>
            <w:r>
              <w:rPr>
                <w:rFonts w:hint="eastAsia" w:ascii="微软雅黑" w:hAnsi="微软雅黑" w:eastAsia="微软雅黑"/>
                <w:color w:val="auto"/>
                <w:sz w:val="18"/>
                <w:szCs w:val="18"/>
              </w:rPr>
              <w:t>见签到表</w:t>
            </w: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p>
            <w:pPr>
              <w:pStyle w:val="54"/>
              <w:rPr>
                <w:rFonts w:ascii="微软雅黑" w:hAnsi="微软雅黑" w:eastAsia="微软雅黑"/>
                <w:color w:val="auto"/>
                <w:sz w:val="18"/>
                <w:szCs w:val="18"/>
              </w:rPr>
            </w:pPr>
          </w:p>
        </w:tc>
      </w:tr>
    </w:tbl>
    <w:p>
      <w:pPr>
        <w:rPr>
          <w:rFonts w:ascii="微软雅黑" w:hAnsi="微软雅黑" w:eastAsia="微软雅黑"/>
          <w:color w:val="auto"/>
        </w:rPr>
      </w:pPr>
      <w:r>
        <w:rPr>
          <w:rFonts w:hint="eastAsia" w:ascii="微软雅黑" w:hAnsi="微软雅黑" w:eastAsia="微软雅黑"/>
          <w:color w:val="auto"/>
        </w:rPr>
        <w:br w:type="page"/>
      </w:r>
    </w:p>
    <w:p>
      <w:pPr>
        <w:jc w:val="both"/>
        <w:rPr>
          <w:rFonts w:ascii="微软雅黑" w:hAnsi="微软雅黑" w:eastAsia="微软雅黑" w:cs="仿宋_GB2312"/>
          <w:color w:val="auto"/>
          <w:szCs w:val="32"/>
          <w14:ligatures w14:val="none"/>
        </w:rPr>
      </w:pPr>
      <w:bookmarkStart w:id="29" w:name="_Toc171693050"/>
      <w:bookmarkStart w:id="30" w:name="_Toc171692844"/>
      <w:bookmarkStart w:id="31" w:name="_Toc171693229"/>
      <w:bookmarkStart w:id="32" w:name="_Toc175813254"/>
      <w:r>
        <w:rPr>
          <w:rFonts w:hint="eastAsia" w:ascii="黑体" w:hAnsi="黑体" w:eastAsia="黑体" w:cs="黑体"/>
          <w:color w:val="auto"/>
          <w:kern w:val="0"/>
          <w:szCs w:val="32"/>
          <w14:ligatures w14:val="none"/>
        </w:rPr>
        <w:t>附录</w:t>
      </w:r>
      <w:bookmarkEnd w:id="29"/>
      <w:bookmarkEnd w:id="30"/>
      <w:bookmarkEnd w:id="31"/>
      <w:bookmarkStart w:id="33" w:name="_Toc28602"/>
      <w:r>
        <w:rPr>
          <w:rFonts w:hint="eastAsia" w:ascii="黑体" w:hAnsi="黑体" w:eastAsia="黑体" w:cs="黑体"/>
          <w:color w:val="auto"/>
          <w:kern w:val="0"/>
          <w:szCs w:val="32"/>
          <w14:ligatures w14:val="none"/>
        </w:rPr>
        <w:t>C</w:t>
      </w:r>
    </w:p>
    <w:p>
      <w:pPr>
        <w:ind w:firstLine="2880" w:firstLineChars="800"/>
        <w:jc w:val="both"/>
        <w:rPr>
          <w:rFonts w:ascii="方正小标宋简体" w:hAnsi="宋体" w:eastAsia="方正小标宋简体" w:cs="宋体"/>
          <w:bCs/>
          <w:color w:val="auto"/>
          <w:sz w:val="36"/>
          <w:szCs w:val="36"/>
          <w14:ligatures w14:val="none"/>
        </w:rPr>
      </w:pPr>
      <w:r>
        <w:rPr>
          <w:rFonts w:hint="eastAsia" w:ascii="方正小标宋简体" w:hAnsi="宋体" w:eastAsia="方正小标宋简体" w:cs="宋体"/>
          <w:bCs/>
          <w:color w:val="auto"/>
          <w:sz w:val="36"/>
          <w:szCs w:val="36"/>
          <w14:ligatures w14:val="none"/>
        </w:rPr>
        <w:t>抹灰机器人点检表</w:t>
      </w:r>
    </w:p>
    <w:tbl>
      <w:tblPr>
        <w:tblStyle w:val="23"/>
        <w:tblW w:w="88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77"/>
        <w:gridCol w:w="2094"/>
        <w:gridCol w:w="1299"/>
        <w:gridCol w:w="1639"/>
        <w:gridCol w:w="148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pStyle w:val="54"/>
              <w:jc w:val="center"/>
              <w:rPr>
                <w:rFonts w:ascii="宋体" w:hAnsi="宋体" w:eastAsia="宋体"/>
                <w:b/>
                <w:bCs/>
                <w:color w:val="auto"/>
                <w:sz w:val="18"/>
                <w:szCs w:val="18"/>
              </w:rPr>
            </w:pPr>
            <w:r>
              <w:rPr>
                <w:rFonts w:hint="eastAsia" w:ascii="宋体" w:hAnsi="宋体" w:eastAsia="宋体"/>
                <w:b/>
                <w:bCs/>
                <w:color w:val="auto"/>
                <w:sz w:val="18"/>
                <w:szCs w:val="18"/>
              </w:rPr>
              <w:t>工程名称</w:t>
            </w:r>
          </w:p>
        </w:tc>
        <w:tc>
          <w:tcPr>
            <w:tcW w:w="3393" w:type="dxa"/>
            <w:gridSpan w:val="2"/>
            <w:tcBorders>
              <w:top w:val="single" w:color="auto" w:sz="4" w:space="0"/>
              <w:left w:val="single" w:color="auto" w:sz="4" w:space="0"/>
              <w:bottom w:val="single" w:color="auto" w:sz="4" w:space="0"/>
              <w:right w:val="single" w:color="auto" w:sz="4" w:space="0"/>
            </w:tcBorders>
            <w:vAlign w:val="center"/>
          </w:tcPr>
          <w:p>
            <w:pPr>
              <w:pStyle w:val="54"/>
              <w:rPr>
                <w:rFonts w:ascii="宋体" w:hAnsi="宋体" w:eastAsia="宋体"/>
                <w:color w:val="auto"/>
                <w:sz w:val="18"/>
                <w:szCs w:val="18"/>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54"/>
              <w:jc w:val="center"/>
              <w:rPr>
                <w:rFonts w:ascii="宋体" w:hAnsi="宋体" w:eastAsia="宋体"/>
                <w:b/>
                <w:bCs/>
                <w:color w:val="auto"/>
                <w:sz w:val="18"/>
                <w:szCs w:val="18"/>
              </w:rPr>
            </w:pPr>
            <w:r>
              <w:rPr>
                <w:rFonts w:hint="eastAsia" w:ascii="宋体" w:hAnsi="宋体" w:eastAsia="宋体"/>
                <w:b/>
                <w:bCs/>
                <w:color w:val="auto"/>
                <w:sz w:val="18"/>
                <w:szCs w:val="18"/>
              </w:rPr>
              <w:t>规格型号与编号</w:t>
            </w:r>
          </w:p>
        </w:tc>
        <w:tc>
          <w:tcPr>
            <w:tcW w:w="2194" w:type="dxa"/>
            <w:gridSpan w:val="2"/>
            <w:tcBorders>
              <w:top w:val="single" w:color="auto" w:sz="4" w:space="0"/>
              <w:left w:val="single" w:color="auto" w:sz="4" w:space="0"/>
              <w:bottom w:val="single" w:color="auto" w:sz="4" w:space="0"/>
              <w:right w:val="single" w:color="auto" w:sz="4" w:space="0"/>
            </w:tcBorders>
            <w:vAlign w:val="center"/>
          </w:tcPr>
          <w:p>
            <w:pPr>
              <w:pStyle w:val="54"/>
              <w:rPr>
                <w:rFonts w:ascii="宋体" w:hAnsi="宋体"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8" w:type="dxa"/>
            <w:gridSpan w:val="2"/>
            <w:tcBorders>
              <w:top w:val="single" w:color="auto" w:sz="4" w:space="0"/>
              <w:left w:val="single" w:color="auto" w:sz="4" w:space="0"/>
              <w:bottom w:val="single" w:color="auto" w:sz="4" w:space="0"/>
              <w:right w:val="single" w:color="auto" w:sz="4" w:space="0"/>
            </w:tcBorders>
            <w:vAlign w:val="center"/>
          </w:tcPr>
          <w:p>
            <w:pPr>
              <w:pStyle w:val="54"/>
              <w:jc w:val="center"/>
              <w:rPr>
                <w:rFonts w:ascii="宋体" w:hAnsi="宋体" w:eastAsia="宋体"/>
                <w:b/>
                <w:bCs/>
                <w:color w:val="auto"/>
                <w:sz w:val="18"/>
                <w:szCs w:val="18"/>
              </w:rPr>
            </w:pPr>
            <w:r>
              <w:rPr>
                <w:rFonts w:hint="eastAsia" w:ascii="宋体" w:hAnsi="宋体" w:eastAsia="宋体"/>
                <w:b/>
                <w:bCs/>
                <w:color w:val="auto"/>
                <w:sz w:val="18"/>
                <w:szCs w:val="18"/>
              </w:rPr>
              <w:t>点检时间</w:t>
            </w:r>
          </w:p>
        </w:tc>
        <w:tc>
          <w:tcPr>
            <w:tcW w:w="3393" w:type="dxa"/>
            <w:gridSpan w:val="2"/>
            <w:tcBorders>
              <w:top w:val="single" w:color="auto" w:sz="4" w:space="0"/>
              <w:left w:val="single" w:color="auto" w:sz="4" w:space="0"/>
              <w:bottom w:val="single" w:color="auto" w:sz="4" w:space="0"/>
              <w:right w:val="single" w:color="auto" w:sz="4" w:space="0"/>
            </w:tcBorders>
            <w:vAlign w:val="center"/>
          </w:tcPr>
          <w:p>
            <w:pPr>
              <w:pStyle w:val="54"/>
              <w:rPr>
                <w:rFonts w:ascii="宋体" w:hAnsi="宋体" w:eastAsia="宋体"/>
                <w:color w:val="auto"/>
                <w:sz w:val="18"/>
                <w:szCs w:val="18"/>
              </w:rPr>
            </w:pPr>
          </w:p>
        </w:tc>
        <w:tc>
          <w:tcPr>
            <w:tcW w:w="1639" w:type="dxa"/>
            <w:tcBorders>
              <w:top w:val="single" w:color="auto" w:sz="4" w:space="0"/>
              <w:left w:val="single" w:color="auto" w:sz="4" w:space="0"/>
              <w:bottom w:val="single" w:color="auto" w:sz="4" w:space="0"/>
              <w:right w:val="single" w:color="auto" w:sz="4" w:space="0"/>
            </w:tcBorders>
            <w:vAlign w:val="center"/>
          </w:tcPr>
          <w:p>
            <w:pPr>
              <w:pStyle w:val="54"/>
              <w:jc w:val="center"/>
              <w:rPr>
                <w:rFonts w:ascii="宋体" w:hAnsi="宋体" w:eastAsia="宋体"/>
                <w:b/>
                <w:bCs/>
                <w:color w:val="auto"/>
                <w:sz w:val="18"/>
                <w:szCs w:val="18"/>
              </w:rPr>
            </w:pPr>
            <w:r>
              <w:rPr>
                <w:rFonts w:hint="eastAsia" w:ascii="宋体" w:hAnsi="宋体" w:eastAsia="宋体"/>
                <w:b/>
                <w:bCs/>
                <w:color w:val="auto"/>
                <w:sz w:val="18"/>
                <w:szCs w:val="18"/>
              </w:rPr>
              <w:t>安装地点</w:t>
            </w:r>
          </w:p>
        </w:tc>
        <w:tc>
          <w:tcPr>
            <w:tcW w:w="2194" w:type="dxa"/>
            <w:gridSpan w:val="2"/>
            <w:tcBorders>
              <w:top w:val="single" w:color="auto" w:sz="4" w:space="0"/>
              <w:left w:val="single" w:color="auto" w:sz="4" w:space="0"/>
              <w:bottom w:val="single" w:color="auto" w:sz="4" w:space="0"/>
              <w:right w:val="single" w:color="auto" w:sz="4" w:space="0"/>
            </w:tcBorders>
            <w:vAlign w:val="center"/>
          </w:tcPr>
          <w:p>
            <w:pPr>
              <w:pStyle w:val="54"/>
              <w:rPr>
                <w:rFonts w:ascii="宋体" w:hAnsi="宋体"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15" w:type="dxa"/>
            <w:gridSpan w:val="2"/>
            <w:tcBorders>
              <w:top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54"/>
              <w:jc w:val="center"/>
              <w:rPr>
                <w:rFonts w:ascii="宋体" w:hAnsi="宋体" w:eastAsia="宋体" w:cs="宋体"/>
                <w:b/>
                <w:bCs/>
                <w:color w:val="auto"/>
                <w:kern w:val="0"/>
                <w:sz w:val="18"/>
                <w:szCs w:val="18"/>
                <w:lang w:bidi="ar"/>
              </w:rPr>
            </w:pPr>
            <w:r>
              <w:rPr>
                <w:rFonts w:hint="eastAsia" w:ascii="宋体" w:hAnsi="宋体" w:eastAsia="宋体"/>
                <w:b/>
                <w:bCs/>
                <w:color w:val="auto"/>
                <w:sz w:val="18"/>
                <w:szCs w:val="18"/>
              </w:rPr>
              <w:t>检查结果代号说明</w:t>
            </w:r>
          </w:p>
        </w:tc>
        <w:tc>
          <w:tcPr>
            <w:tcW w:w="7226" w:type="dxa"/>
            <w:gridSpan w:val="5"/>
            <w:tcBorders>
              <w:top w:val="single" w:color="000000" w:sz="4" w:space="0"/>
              <w:left w:val="single" w:color="000000" w:sz="4" w:space="0"/>
              <w:bottom w:val="single" w:color="000000" w:sz="4" w:space="0"/>
            </w:tcBorders>
            <w:shd w:val="clear" w:color="auto" w:fill="auto"/>
            <w:vAlign w:val="center"/>
          </w:tcPr>
          <w:p>
            <w:pPr>
              <w:pStyle w:val="54"/>
              <w:rPr>
                <w:rFonts w:ascii="宋体" w:hAnsi="宋体" w:eastAsia="宋体" w:cs="宋体"/>
                <w:b/>
                <w:bCs/>
                <w:color w:val="auto"/>
                <w:kern w:val="0"/>
                <w:sz w:val="18"/>
                <w:szCs w:val="18"/>
                <w:lang w:bidi="ar"/>
              </w:rPr>
            </w:pPr>
            <w:r>
              <w:rPr>
                <w:rFonts w:hint="eastAsia" w:ascii="宋体" w:hAnsi="宋体" w:eastAsia="宋体"/>
                <w:color w:val="auto"/>
                <w:sz w:val="18"/>
                <w:szCs w:val="18"/>
              </w:rPr>
              <w:t>“√”=合格  “○”=整改后合格  “×”=不合格  “/”=无此项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测试项目</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lang w:bidi="ar"/>
              </w:rPr>
              <w:t>测试内容</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检查结果</w:t>
            </w:r>
          </w:p>
        </w:tc>
        <w:tc>
          <w:tcPr>
            <w:tcW w:w="706"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整机状态</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软/硬件版本核对</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整机外观整洁，符合要求，无色差，无刮痕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整机布线规整，简洁符合要求</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整机铭牌、标识清晰，齐全（含辅机）</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整机关键传动部件无锈蚀</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往复移动线束干涉检查</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伺服驱动器部件安装检查</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防护检查</w:t>
            </w:r>
          </w:p>
        </w:tc>
        <w:tc>
          <w:tcPr>
            <w:tcW w:w="2938" w:type="dxa"/>
            <w:gridSpan w:val="2"/>
            <w:tcBorders>
              <w:top w:val="nil"/>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水平仪防护安装满足要求</w:t>
            </w:r>
          </w:p>
        </w:tc>
        <w:tc>
          <w:tcPr>
            <w:tcW w:w="1488" w:type="dxa"/>
            <w:tcBorders>
              <w:top w:val="nil"/>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nil"/>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9</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底盘防护安装满足要求（螺钉孔防护盖）</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基础级防护安装满足要求</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11</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末级防护安装满足要求</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12</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抹头防护安装满足要求</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13</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前后移动防护安装满足要求</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14</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相机防护安装满足要求（相机防水全包裹、防护盖、UV镜）</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15</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整机部件螺钉无松动（抽检）</w:t>
            </w: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前后移动导轨安装螺钉</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16</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立板与前后移动连接板固定螺钉</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17</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基础级滑块连接板螺钉</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18</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抹头推杆固定螺钉</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19</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基础级动力机构螺钉</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20</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rPr>
            </w:pPr>
          </w:p>
        </w:tc>
        <w:tc>
          <w:tcPr>
            <w:tcW w:w="293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支撑脚无松动</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21</w:t>
            </w:r>
          </w:p>
        </w:tc>
        <w:tc>
          <w:tcPr>
            <w:tcW w:w="1073" w:type="dxa"/>
            <w:vMerge w:val="restart"/>
            <w:tcBorders>
              <w:top w:val="nil"/>
              <w:left w:val="single" w:color="000000" w:sz="4" w:space="0"/>
              <w:bottom w:val="nil"/>
              <w:right w:val="single" w:color="000000" w:sz="4"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参数检查</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各级行程设置完成</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22</w:t>
            </w:r>
          </w:p>
        </w:tc>
        <w:tc>
          <w:tcPr>
            <w:tcW w:w="1073" w:type="dxa"/>
            <w:vMerge w:val="continue"/>
            <w:tcBorders>
              <w:top w:val="nil"/>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各级偏移与原点位置设置完成</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23</w:t>
            </w:r>
          </w:p>
        </w:tc>
        <w:tc>
          <w:tcPr>
            <w:tcW w:w="1073" w:type="dxa"/>
            <w:vMerge w:val="continue"/>
            <w:tcBorders>
              <w:top w:val="nil"/>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工艺参数确定</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24</w:t>
            </w:r>
          </w:p>
        </w:tc>
        <w:tc>
          <w:tcPr>
            <w:tcW w:w="1073" w:type="dxa"/>
            <w:vMerge w:val="continue"/>
            <w:tcBorders>
              <w:top w:val="nil"/>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各级软限位设置完成</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25</w:t>
            </w:r>
          </w:p>
        </w:tc>
        <w:tc>
          <w:tcPr>
            <w:tcW w:w="1073" w:type="dxa"/>
            <w:vMerge w:val="continue"/>
            <w:tcBorders>
              <w:top w:val="nil"/>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各级过载限制值设置完成</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26</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标定检测</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各级零点位置标识正确（包括相机）</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27</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海康视觉相机光圈焦距调整完成（光圈：4）</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28</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视觉完成标定，记录补偿值并写入控制器</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29</w:t>
            </w:r>
          </w:p>
        </w:tc>
        <w:tc>
          <w:tcPr>
            <w:tcW w:w="107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抹头状态</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刮平板和成型板垂直度符合标准</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30</w:t>
            </w:r>
          </w:p>
        </w:tc>
        <w:tc>
          <w:tcPr>
            <w:tcW w:w="107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测试成型板、刮平板平面度是否合格</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31</w:t>
            </w:r>
          </w:p>
        </w:tc>
        <w:tc>
          <w:tcPr>
            <w:tcW w:w="107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振动电机状态测试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32</w:t>
            </w:r>
          </w:p>
        </w:tc>
        <w:tc>
          <w:tcPr>
            <w:tcW w:w="1073" w:type="dxa"/>
            <w:vMerge w:val="restart"/>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运行状态</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机器人开机，正常上电，指示灯（红黄绿蜂鸣对应状态）正常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33</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机器人开机自检正常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34</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急停功能与报警状态正常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35</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抹灰机各级负载率变化正常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36</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机器人各级原点及正负方向正常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37</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机器人各级软限位及行程正常（附表记录）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38</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机器人运动范围满足0-5500mm ，室内0~3400mm。（检查实际高度位置）</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39</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机器人各级各速度段运行正常，负载率正常，无异响，无卡顿，无抖动，无干涉（附表记录）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40</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机器人行走功能正常，直线度较高</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41</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机器人运行时舵轮转向/行走电机电流正常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42</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机器人行走速度可达0.4m/s</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43</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初始化工作参数功能测试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44</w:t>
            </w:r>
          </w:p>
        </w:tc>
        <w:tc>
          <w:tcPr>
            <w:tcW w:w="1073" w:type="dxa"/>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故障复位与继续功能测试（暂无继续功能）</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2"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45</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接口功能</w:t>
            </w: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机器USB串口通讯功能正常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46</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机器人WiFi通讯功能正常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47</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螺杆泵通讯信号、逻辑正常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48</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柱塞泵通讯信号、逻辑正常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49</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4G模块连接正常</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550</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机器人安全位置测试（安全包络线）</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51</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底盘与上装互锁状态测试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52</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机器人DryRun测试，精度、性能满足需求（48H跑机）</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53</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料管跟随功能测试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54</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液位功能测试</w:t>
            </w:r>
          </w:p>
        </w:tc>
        <w:tc>
          <w:tcPr>
            <w:tcW w:w="148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55</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循线功能测试</w:t>
            </w:r>
          </w:p>
        </w:tc>
        <w:tc>
          <w:tcPr>
            <w:tcW w:w="1488" w:type="dxa"/>
            <w:tcBorders>
              <w:top w:val="single" w:color="000000" w:sz="4" w:space="0"/>
              <w:left w:val="single" w:color="000000"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000000" w:sz="4" w:space="0"/>
              <w:left w:val="single" w:color="000000"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56</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抹灰功能测试</w:t>
            </w:r>
          </w:p>
        </w:tc>
        <w:tc>
          <w:tcPr>
            <w:tcW w:w="5032" w:type="dxa"/>
            <w:gridSpan w:val="3"/>
            <w:tcBorders>
              <w:top w:val="single" w:color="000000" w:sz="4" w:space="0"/>
              <w:left w:val="nil"/>
              <w:bottom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到顶功能测试正常</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57</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nil"/>
              <w:bottom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厚度预测功能正常</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58</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nil"/>
              <w:bottom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正常完成一套抹灰动作</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59</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18"/>
                <w:szCs w:val="18"/>
              </w:rPr>
            </w:pPr>
          </w:p>
        </w:tc>
        <w:tc>
          <w:tcPr>
            <w:tcW w:w="5032" w:type="dxa"/>
            <w:gridSpan w:val="3"/>
            <w:tcBorders>
              <w:top w:val="single" w:color="000000" w:sz="4" w:space="0"/>
              <w:left w:val="nil"/>
              <w:bottom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各抹灰模式下的参数范围（大面、窗户上、窗户下的抹灰范围）</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auto" w:sz="4" w:space="0"/>
              <w:left w:val="single" w:color="auto" w:sz="4" w:space="0"/>
              <w:bottom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3" w:type="dxa"/>
            <w:tcBorders>
              <w:top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60</w:t>
            </w:r>
          </w:p>
        </w:tc>
        <w:tc>
          <w:tcPr>
            <w:tcW w:w="107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其他功能</w:t>
            </w:r>
          </w:p>
        </w:tc>
        <w:tc>
          <w:tcPr>
            <w:tcW w:w="5032" w:type="dxa"/>
            <w:gridSpan w:val="3"/>
            <w:tcBorders>
              <w:top w:val="single" w:color="000000" w:sz="4" w:space="0"/>
              <w:left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天花测距</w:t>
            </w:r>
          </w:p>
        </w:tc>
        <w:tc>
          <w:tcPr>
            <w:tcW w:w="1488"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c>
          <w:tcPr>
            <w:tcW w:w="706" w:type="dxa"/>
            <w:tcBorders>
              <w:top w:val="single" w:color="auto" w:sz="4" w:space="0"/>
              <w:left w:val="single" w:color="auto" w:sz="4" w:space="0"/>
            </w:tcBorders>
            <w:shd w:val="clear" w:color="auto" w:fill="auto"/>
            <w:vAlign w:val="center"/>
          </w:tcPr>
          <w:p>
            <w:pPr>
              <w:widowControl/>
              <w:textAlignment w:val="center"/>
              <w:rPr>
                <w:rFonts w:ascii="宋体" w:hAnsi="宋体" w:eastAsia="宋体" w:cs="宋体"/>
                <w:color w:val="auto"/>
                <w:kern w:val="0"/>
                <w:sz w:val="18"/>
                <w:szCs w:val="18"/>
                <w:lang w:bidi="ar"/>
              </w:rPr>
            </w:pPr>
          </w:p>
        </w:tc>
      </w:tr>
      <w:bookmarkEnd w:id="32"/>
      <w:bookmarkEnd w:id="33"/>
    </w:tbl>
    <w:p>
      <w:pPr>
        <w:tabs>
          <w:tab w:val="left" w:pos="6802"/>
        </w:tabs>
        <w:rPr>
          <w:rFonts w:ascii="微软雅黑" w:hAnsi="微软雅黑" w:eastAsia="微软雅黑"/>
          <w:color w:val="auto"/>
          <w:sz w:val="2"/>
          <w:szCs w:val="2"/>
        </w:rPr>
      </w:pPr>
    </w:p>
    <w:sectPr>
      <w:pgSz w:w="11906" w:h="16838"/>
      <w:pgMar w:top="1440" w:right="1797" w:bottom="1440" w:left="1797" w:header="851" w:footer="585" w:gutter="0"/>
      <w:pgNumType w:start="1"/>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中等线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77B5"/>
    <w:multiLevelType w:val="singleLevel"/>
    <w:tmpl w:val="DFFF77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ZmVjNjNlY2Q4YjEzYzMyZmI1MjA2YmNhODViMTkifQ=="/>
  </w:docVars>
  <w:rsids>
    <w:rsidRoot w:val="00B40A77"/>
    <w:rsid w:val="00003939"/>
    <w:rsid w:val="00010B8F"/>
    <w:rsid w:val="00012C9E"/>
    <w:rsid w:val="0001381D"/>
    <w:rsid w:val="000218A8"/>
    <w:rsid w:val="000218F0"/>
    <w:rsid w:val="00025C66"/>
    <w:rsid w:val="0002734E"/>
    <w:rsid w:val="00033D04"/>
    <w:rsid w:val="00034B72"/>
    <w:rsid w:val="00046E7F"/>
    <w:rsid w:val="00062A35"/>
    <w:rsid w:val="000651BA"/>
    <w:rsid w:val="00066C49"/>
    <w:rsid w:val="00073071"/>
    <w:rsid w:val="000803EF"/>
    <w:rsid w:val="000857BC"/>
    <w:rsid w:val="00091353"/>
    <w:rsid w:val="000915CA"/>
    <w:rsid w:val="000A1642"/>
    <w:rsid w:val="000A6400"/>
    <w:rsid w:val="000B3B6E"/>
    <w:rsid w:val="000B5565"/>
    <w:rsid w:val="000C588E"/>
    <w:rsid w:val="000C5E65"/>
    <w:rsid w:val="000D28B2"/>
    <w:rsid w:val="000D447E"/>
    <w:rsid w:val="000E6DFF"/>
    <w:rsid w:val="000F358A"/>
    <w:rsid w:val="000F3A2F"/>
    <w:rsid w:val="00116221"/>
    <w:rsid w:val="00117495"/>
    <w:rsid w:val="00121500"/>
    <w:rsid w:val="00122A45"/>
    <w:rsid w:val="001235FE"/>
    <w:rsid w:val="00123D18"/>
    <w:rsid w:val="00126012"/>
    <w:rsid w:val="001305B5"/>
    <w:rsid w:val="00140ECD"/>
    <w:rsid w:val="00144731"/>
    <w:rsid w:val="00154164"/>
    <w:rsid w:val="00154B07"/>
    <w:rsid w:val="00161CE3"/>
    <w:rsid w:val="00161E15"/>
    <w:rsid w:val="00165C8F"/>
    <w:rsid w:val="00167D29"/>
    <w:rsid w:val="00170300"/>
    <w:rsid w:val="00170D75"/>
    <w:rsid w:val="00171C9E"/>
    <w:rsid w:val="00186BE2"/>
    <w:rsid w:val="001A70C4"/>
    <w:rsid w:val="001B1762"/>
    <w:rsid w:val="001B17DF"/>
    <w:rsid w:val="001C36B0"/>
    <w:rsid w:val="001C3FB4"/>
    <w:rsid w:val="001D3258"/>
    <w:rsid w:val="001D798F"/>
    <w:rsid w:val="001E597D"/>
    <w:rsid w:val="001F0AFB"/>
    <w:rsid w:val="001F23F2"/>
    <w:rsid w:val="001F2B89"/>
    <w:rsid w:val="00214909"/>
    <w:rsid w:val="00220474"/>
    <w:rsid w:val="002219AB"/>
    <w:rsid w:val="00231E78"/>
    <w:rsid w:val="00240DD5"/>
    <w:rsid w:val="0024301A"/>
    <w:rsid w:val="00243484"/>
    <w:rsid w:val="00245A5E"/>
    <w:rsid w:val="00250357"/>
    <w:rsid w:val="00262442"/>
    <w:rsid w:val="0027229B"/>
    <w:rsid w:val="002773EF"/>
    <w:rsid w:val="00277E45"/>
    <w:rsid w:val="00280278"/>
    <w:rsid w:val="00280DC4"/>
    <w:rsid w:val="002821C1"/>
    <w:rsid w:val="00293C07"/>
    <w:rsid w:val="00296F06"/>
    <w:rsid w:val="002A1175"/>
    <w:rsid w:val="002A4303"/>
    <w:rsid w:val="002A6261"/>
    <w:rsid w:val="002A636B"/>
    <w:rsid w:val="002B2CBA"/>
    <w:rsid w:val="002B469B"/>
    <w:rsid w:val="002C1744"/>
    <w:rsid w:val="002C284C"/>
    <w:rsid w:val="002C3CC8"/>
    <w:rsid w:val="002C7B40"/>
    <w:rsid w:val="002D3A43"/>
    <w:rsid w:val="002D585B"/>
    <w:rsid w:val="002D5C8E"/>
    <w:rsid w:val="002E0FC5"/>
    <w:rsid w:val="002E487B"/>
    <w:rsid w:val="002E5F1E"/>
    <w:rsid w:val="002F42EB"/>
    <w:rsid w:val="002F5FCD"/>
    <w:rsid w:val="002F66B7"/>
    <w:rsid w:val="00330708"/>
    <w:rsid w:val="003316D2"/>
    <w:rsid w:val="00341FA4"/>
    <w:rsid w:val="00347754"/>
    <w:rsid w:val="0035076E"/>
    <w:rsid w:val="003639D2"/>
    <w:rsid w:val="003665BB"/>
    <w:rsid w:val="00372605"/>
    <w:rsid w:val="00383EED"/>
    <w:rsid w:val="0038599F"/>
    <w:rsid w:val="00393CDA"/>
    <w:rsid w:val="003A1F49"/>
    <w:rsid w:val="003B27AB"/>
    <w:rsid w:val="003B34D7"/>
    <w:rsid w:val="003B4257"/>
    <w:rsid w:val="003C7419"/>
    <w:rsid w:val="003E43C0"/>
    <w:rsid w:val="003E5F92"/>
    <w:rsid w:val="003E658F"/>
    <w:rsid w:val="003F1A48"/>
    <w:rsid w:val="003F43FE"/>
    <w:rsid w:val="0040059A"/>
    <w:rsid w:val="004157D8"/>
    <w:rsid w:val="004208D1"/>
    <w:rsid w:val="00423BBC"/>
    <w:rsid w:val="0042574B"/>
    <w:rsid w:val="0043125A"/>
    <w:rsid w:val="00434E87"/>
    <w:rsid w:val="0044132A"/>
    <w:rsid w:val="00441D5E"/>
    <w:rsid w:val="00443883"/>
    <w:rsid w:val="00443BB8"/>
    <w:rsid w:val="0044492F"/>
    <w:rsid w:val="004476DB"/>
    <w:rsid w:val="00447755"/>
    <w:rsid w:val="00452759"/>
    <w:rsid w:val="00455290"/>
    <w:rsid w:val="00466880"/>
    <w:rsid w:val="004670AF"/>
    <w:rsid w:val="00470192"/>
    <w:rsid w:val="00471106"/>
    <w:rsid w:val="004738EE"/>
    <w:rsid w:val="0047583A"/>
    <w:rsid w:val="00475DCD"/>
    <w:rsid w:val="004805E5"/>
    <w:rsid w:val="00481560"/>
    <w:rsid w:val="00482F42"/>
    <w:rsid w:val="00483C37"/>
    <w:rsid w:val="004878FA"/>
    <w:rsid w:val="00491447"/>
    <w:rsid w:val="0049151D"/>
    <w:rsid w:val="004938F6"/>
    <w:rsid w:val="00496CC8"/>
    <w:rsid w:val="004A020A"/>
    <w:rsid w:val="004A5FCB"/>
    <w:rsid w:val="004A64E1"/>
    <w:rsid w:val="004B071F"/>
    <w:rsid w:val="004B25B5"/>
    <w:rsid w:val="004C3705"/>
    <w:rsid w:val="004D04D5"/>
    <w:rsid w:val="004E69DE"/>
    <w:rsid w:val="004E7AC4"/>
    <w:rsid w:val="004F17D5"/>
    <w:rsid w:val="004F3091"/>
    <w:rsid w:val="004F6D0A"/>
    <w:rsid w:val="00502771"/>
    <w:rsid w:val="00503366"/>
    <w:rsid w:val="00506772"/>
    <w:rsid w:val="0050680B"/>
    <w:rsid w:val="005120C6"/>
    <w:rsid w:val="00524C0E"/>
    <w:rsid w:val="00542927"/>
    <w:rsid w:val="00546125"/>
    <w:rsid w:val="00551B38"/>
    <w:rsid w:val="0056377B"/>
    <w:rsid w:val="0056482F"/>
    <w:rsid w:val="0056629D"/>
    <w:rsid w:val="00566CB4"/>
    <w:rsid w:val="00566F53"/>
    <w:rsid w:val="0057264C"/>
    <w:rsid w:val="005738C4"/>
    <w:rsid w:val="00583893"/>
    <w:rsid w:val="00586C1F"/>
    <w:rsid w:val="00593B22"/>
    <w:rsid w:val="005B0BE6"/>
    <w:rsid w:val="005B411A"/>
    <w:rsid w:val="005B4602"/>
    <w:rsid w:val="005B524E"/>
    <w:rsid w:val="005B5BB6"/>
    <w:rsid w:val="005B5DE1"/>
    <w:rsid w:val="005B70EC"/>
    <w:rsid w:val="005C1098"/>
    <w:rsid w:val="005F354F"/>
    <w:rsid w:val="005F4BC2"/>
    <w:rsid w:val="005F6096"/>
    <w:rsid w:val="005F6291"/>
    <w:rsid w:val="005F6FAD"/>
    <w:rsid w:val="00603835"/>
    <w:rsid w:val="00604B8C"/>
    <w:rsid w:val="00613834"/>
    <w:rsid w:val="00613A11"/>
    <w:rsid w:val="00615EBE"/>
    <w:rsid w:val="006171A6"/>
    <w:rsid w:val="00620659"/>
    <w:rsid w:val="00620C3B"/>
    <w:rsid w:val="00625981"/>
    <w:rsid w:val="00625BB1"/>
    <w:rsid w:val="0062703E"/>
    <w:rsid w:val="00632A36"/>
    <w:rsid w:val="00633B8A"/>
    <w:rsid w:val="00635B02"/>
    <w:rsid w:val="006400F2"/>
    <w:rsid w:val="006438BB"/>
    <w:rsid w:val="0065267C"/>
    <w:rsid w:val="00652972"/>
    <w:rsid w:val="0065678A"/>
    <w:rsid w:val="00675834"/>
    <w:rsid w:val="00680423"/>
    <w:rsid w:val="00681E03"/>
    <w:rsid w:val="006873B3"/>
    <w:rsid w:val="00690C5F"/>
    <w:rsid w:val="006A1262"/>
    <w:rsid w:val="006A4710"/>
    <w:rsid w:val="006B0278"/>
    <w:rsid w:val="006B11C4"/>
    <w:rsid w:val="006C1EFB"/>
    <w:rsid w:val="006C7106"/>
    <w:rsid w:val="006D7EEE"/>
    <w:rsid w:val="006E19DA"/>
    <w:rsid w:val="006E55E9"/>
    <w:rsid w:val="006E64E9"/>
    <w:rsid w:val="006F1CE0"/>
    <w:rsid w:val="006F6A82"/>
    <w:rsid w:val="0070161C"/>
    <w:rsid w:val="00710DB1"/>
    <w:rsid w:val="00715210"/>
    <w:rsid w:val="0071686F"/>
    <w:rsid w:val="007223A2"/>
    <w:rsid w:val="00732E17"/>
    <w:rsid w:val="007364E1"/>
    <w:rsid w:val="007449D9"/>
    <w:rsid w:val="00745EA7"/>
    <w:rsid w:val="007477C8"/>
    <w:rsid w:val="0076762C"/>
    <w:rsid w:val="007700DE"/>
    <w:rsid w:val="0077615C"/>
    <w:rsid w:val="007846DE"/>
    <w:rsid w:val="007876AB"/>
    <w:rsid w:val="00793971"/>
    <w:rsid w:val="0079463C"/>
    <w:rsid w:val="007A10C5"/>
    <w:rsid w:val="007A5234"/>
    <w:rsid w:val="007A55E3"/>
    <w:rsid w:val="007A6A4F"/>
    <w:rsid w:val="007B4209"/>
    <w:rsid w:val="007B6627"/>
    <w:rsid w:val="007C3FD5"/>
    <w:rsid w:val="007C5F48"/>
    <w:rsid w:val="007C6696"/>
    <w:rsid w:val="007C77D0"/>
    <w:rsid w:val="007C7C6E"/>
    <w:rsid w:val="007C7FF4"/>
    <w:rsid w:val="007D1E91"/>
    <w:rsid w:val="007D296E"/>
    <w:rsid w:val="007D3281"/>
    <w:rsid w:val="007E1BAD"/>
    <w:rsid w:val="007E21E2"/>
    <w:rsid w:val="007E7D55"/>
    <w:rsid w:val="007F026B"/>
    <w:rsid w:val="007F6C43"/>
    <w:rsid w:val="00805429"/>
    <w:rsid w:val="00815528"/>
    <w:rsid w:val="00824843"/>
    <w:rsid w:val="0082581D"/>
    <w:rsid w:val="008259B9"/>
    <w:rsid w:val="00835A1A"/>
    <w:rsid w:val="0083782F"/>
    <w:rsid w:val="0084083C"/>
    <w:rsid w:val="00844C38"/>
    <w:rsid w:val="00853ACF"/>
    <w:rsid w:val="00857A60"/>
    <w:rsid w:val="008759F9"/>
    <w:rsid w:val="008823E2"/>
    <w:rsid w:val="00883B19"/>
    <w:rsid w:val="008969A7"/>
    <w:rsid w:val="008A01D5"/>
    <w:rsid w:val="008A4B00"/>
    <w:rsid w:val="008A5CE4"/>
    <w:rsid w:val="008A7DCD"/>
    <w:rsid w:val="008B16E3"/>
    <w:rsid w:val="008B5A1F"/>
    <w:rsid w:val="008D04B6"/>
    <w:rsid w:val="008D79E1"/>
    <w:rsid w:val="008F393D"/>
    <w:rsid w:val="00900BC6"/>
    <w:rsid w:val="0090421F"/>
    <w:rsid w:val="00916826"/>
    <w:rsid w:val="00925266"/>
    <w:rsid w:val="00925C45"/>
    <w:rsid w:val="00930A78"/>
    <w:rsid w:val="00931345"/>
    <w:rsid w:val="009315AA"/>
    <w:rsid w:val="009315CC"/>
    <w:rsid w:val="00932926"/>
    <w:rsid w:val="009361DD"/>
    <w:rsid w:val="00936DB0"/>
    <w:rsid w:val="00944874"/>
    <w:rsid w:val="00945201"/>
    <w:rsid w:val="0094641C"/>
    <w:rsid w:val="00947131"/>
    <w:rsid w:val="00960A49"/>
    <w:rsid w:val="0096161D"/>
    <w:rsid w:val="009650A9"/>
    <w:rsid w:val="009664D5"/>
    <w:rsid w:val="0097777B"/>
    <w:rsid w:val="00982C8C"/>
    <w:rsid w:val="00990521"/>
    <w:rsid w:val="009A4A28"/>
    <w:rsid w:val="009B7DB7"/>
    <w:rsid w:val="009D200D"/>
    <w:rsid w:val="009D55B5"/>
    <w:rsid w:val="009D6936"/>
    <w:rsid w:val="009D6BF4"/>
    <w:rsid w:val="009E54C3"/>
    <w:rsid w:val="009E6C21"/>
    <w:rsid w:val="009E6E3A"/>
    <w:rsid w:val="009F0E9F"/>
    <w:rsid w:val="009F2234"/>
    <w:rsid w:val="00A052A9"/>
    <w:rsid w:val="00A167A2"/>
    <w:rsid w:val="00A21880"/>
    <w:rsid w:val="00A23581"/>
    <w:rsid w:val="00A26951"/>
    <w:rsid w:val="00A3112C"/>
    <w:rsid w:val="00A3341F"/>
    <w:rsid w:val="00A425BE"/>
    <w:rsid w:val="00A50393"/>
    <w:rsid w:val="00A51F73"/>
    <w:rsid w:val="00A53FC8"/>
    <w:rsid w:val="00A54D9E"/>
    <w:rsid w:val="00A61C9D"/>
    <w:rsid w:val="00A628AB"/>
    <w:rsid w:val="00A66FFA"/>
    <w:rsid w:val="00A70B7C"/>
    <w:rsid w:val="00A72A65"/>
    <w:rsid w:val="00A841F6"/>
    <w:rsid w:val="00A854F1"/>
    <w:rsid w:val="00A905B1"/>
    <w:rsid w:val="00A92494"/>
    <w:rsid w:val="00A9692B"/>
    <w:rsid w:val="00AA2400"/>
    <w:rsid w:val="00AA3183"/>
    <w:rsid w:val="00AA3FAE"/>
    <w:rsid w:val="00AB472B"/>
    <w:rsid w:val="00AC751C"/>
    <w:rsid w:val="00AD1E0E"/>
    <w:rsid w:val="00AD5B67"/>
    <w:rsid w:val="00AE02E7"/>
    <w:rsid w:val="00AE469C"/>
    <w:rsid w:val="00B031DD"/>
    <w:rsid w:val="00B152C0"/>
    <w:rsid w:val="00B22E4A"/>
    <w:rsid w:val="00B26E21"/>
    <w:rsid w:val="00B26F90"/>
    <w:rsid w:val="00B30165"/>
    <w:rsid w:val="00B366D9"/>
    <w:rsid w:val="00B40A77"/>
    <w:rsid w:val="00B4207B"/>
    <w:rsid w:val="00B42511"/>
    <w:rsid w:val="00B45631"/>
    <w:rsid w:val="00B50EB9"/>
    <w:rsid w:val="00B5540E"/>
    <w:rsid w:val="00B75095"/>
    <w:rsid w:val="00B75BF2"/>
    <w:rsid w:val="00B81D0C"/>
    <w:rsid w:val="00B954B6"/>
    <w:rsid w:val="00BA0AD8"/>
    <w:rsid w:val="00BA1C9E"/>
    <w:rsid w:val="00BB27BC"/>
    <w:rsid w:val="00BB285B"/>
    <w:rsid w:val="00BB315D"/>
    <w:rsid w:val="00BC044E"/>
    <w:rsid w:val="00BC06F2"/>
    <w:rsid w:val="00BC1F4E"/>
    <w:rsid w:val="00BC42B0"/>
    <w:rsid w:val="00BD6BFE"/>
    <w:rsid w:val="00BE0FE1"/>
    <w:rsid w:val="00BE3F4D"/>
    <w:rsid w:val="00BE6B82"/>
    <w:rsid w:val="00BF691F"/>
    <w:rsid w:val="00BF76EA"/>
    <w:rsid w:val="00C003C3"/>
    <w:rsid w:val="00C0333F"/>
    <w:rsid w:val="00C04E1D"/>
    <w:rsid w:val="00C10F85"/>
    <w:rsid w:val="00C15FB1"/>
    <w:rsid w:val="00C243DB"/>
    <w:rsid w:val="00C27D9E"/>
    <w:rsid w:val="00C334AC"/>
    <w:rsid w:val="00C350CB"/>
    <w:rsid w:val="00C36D09"/>
    <w:rsid w:val="00C415DA"/>
    <w:rsid w:val="00C42F3F"/>
    <w:rsid w:val="00C67B36"/>
    <w:rsid w:val="00C84980"/>
    <w:rsid w:val="00C950BB"/>
    <w:rsid w:val="00C9528E"/>
    <w:rsid w:val="00CA2EC9"/>
    <w:rsid w:val="00CA3161"/>
    <w:rsid w:val="00CA4848"/>
    <w:rsid w:val="00CA4DC8"/>
    <w:rsid w:val="00CA51F4"/>
    <w:rsid w:val="00CB418D"/>
    <w:rsid w:val="00CB61B7"/>
    <w:rsid w:val="00CB752E"/>
    <w:rsid w:val="00CC156E"/>
    <w:rsid w:val="00CC1653"/>
    <w:rsid w:val="00CC3023"/>
    <w:rsid w:val="00CD0D3E"/>
    <w:rsid w:val="00CD68C9"/>
    <w:rsid w:val="00CE6318"/>
    <w:rsid w:val="00CE647B"/>
    <w:rsid w:val="00CE7080"/>
    <w:rsid w:val="00CE7DA3"/>
    <w:rsid w:val="00CF363D"/>
    <w:rsid w:val="00CF504C"/>
    <w:rsid w:val="00D0212B"/>
    <w:rsid w:val="00D02FAF"/>
    <w:rsid w:val="00D031B9"/>
    <w:rsid w:val="00D03E47"/>
    <w:rsid w:val="00D11234"/>
    <w:rsid w:val="00D1643B"/>
    <w:rsid w:val="00D27AF2"/>
    <w:rsid w:val="00D30F45"/>
    <w:rsid w:val="00D30FDA"/>
    <w:rsid w:val="00D365B1"/>
    <w:rsid w:val="00D4135F"/>
    <w:rsid w:val="00D41B1A"/>
    <w:rsid w:val="00D4298A"/>
    <w:rsid w:val="00D45A57"/>
    <w:rsid w:val="00D51176"/>
    <w:rsid w:val="00D524F0"/>
    <w:rsid w:val="00D60593"/>
    <w:rsid w:val="00D658DF"/>
    <w:rsid w:val="00D74B76"/>
    <w:rsid w:val="00D7515F"/>
    <w:rsid w:val="00D7691F"/>
    <w:rsid w:val="00D77FBF"/>
    <w:rsid w:val="00D85D69"/>
    <w:rsid w:val="00D94A31"/>
    <w:rsid w:val="00D95658"/>
    <w:rsid w:val="00DA50EF"/>
    <w:rsid w:val="00DA5C5F"/>
    <w:rsid w:val="00DB2830"/>
    <w:rsid w:val="00DC074B"/>
    <w:rsid w:val="00DC4F32"/>
    <w:rsid w:val="00DC707E"/>
    <w:rsid w:val="00DD0FE4"/>
    <w:rsid w:val="00DD175D"/>
    <w:rsid w:val="00DD1973"/>
    <w:rsid w:val="00DD48F9"/>
    <w:rsid w:val="00DD76A6"/>
    <w:rsid w:val="00DE1705"/>
    <w:rsid w:val="00DE79F0"/>
    <w:rsid w:val="00DF66D9"/>
    <w:rsid w:val="00E024F5"/>
    <w:rsid w:val="00E11EAB"/>
    <w:rsid w:val="00E1394C"/>
    <w:rsid w:val="00E13B91"/>
    <w:rsid w:val="00E21C5F"/>
    <w:rsid w:val="00E21EE3"/>
    <w:rsid w:val="00E24B5F"/>
    <w:rsid w:val="00E2582A"/>
    <w:rsid w:val="00E314AD"/>
    <w:rsid w:val="00E318F1"/>
    <w:rsid w:val="00E33445"/>
    <w:rsid w:val="00E35398"/>
    <w:rsid w:val="00E42EC2"/>
    <w:rsid w:val="00E445CD"/>
    <w:rsid w:val="00E46BB3"/>
    <w:rsid w:val="00E53549"/>
    <w:rsid w:val="00E5418F"/>
    <w:rsid w:val="00E55461"/>
    <w:rsid w:val="00E56FBA"/>
    <w:rsid w:val="00E600C7"/>
    <w:rsid w:val="00E64F00"/>
    <w:rsid w:val="00E668F7"/>
    <w:rsid w:val="00E734D7"/>
    <w:rsid w:val="00E7369C"/>
    <w:rsid w:val="00E7407F"/>
    <w:rsid w:val="00E75BF5"/>
    <w:rsid w:val="00E92A4F"/>
    <w:rsid w:val="00E97382"/>
    <w:rsid w:val="00EB04D6"/>
    <w:rsid w:val="00EB5F00"/>
    <w:rsid w:val="00ED71A6"/>
    <w:rsid w:val="00EE526A"/>
    <w:rsid w:val="00EF2725"/>
    <w:rsid w:val="00F00FEB"/>
    <w:rsid w:val="00F012BF"/>
    <w:rsid w:val="00F02135"/>
    <w:rsid w:val="00F02D72"/>
    <w:rsid w:val="00F04197"/>
    <w:rsid w:val="00F12AC7"/>
    <w:rsid w:val="00F150D2"/>
    <w:rsid w:val="00F21D45"/>
    <w:rsid w:val="00F244A6"/>
    <w:rsid w:val="00F26414"/>
    <w:rsid w:val="00F26DB8"/>
    <w:rsid w:val="00F27543"/>
    <w:rsid w:val="00F3231E"/>
    <w:rsid w:val="00F43833"/>
    <w:rsid w:val="00F51473"/>
    <w:rsid w:val="00F53F85"/>
    <w:rsid w:val="00F55127"/>
    <w:rsid w:val="00F651DC"/>
    <w:rsid w:val="00F72094"/>
    <w:rsid w:val="00F80DD8"/>
    <w:rsid w:val="00F86DA9"/>
    <w:rsid w:val="00F916EE"/>
    <w:rsid w:val="00F93EBE"/>
    <w:rsid w:val="00FA2C0B"/>
    <w:rsid w:val="00FA5183"/>
    <w:rsid w:val="00FC3BAB"/>
    <w:rsid w:val="00FE21B4"/>
    <w:rsid w:val="00FE4D3C"/>
    <w:rsid w:val="00FF0A9D"/>
    <w:rsid w:val="00FF1943"/>
    <w:rsid w:val="00FF1AEB"/>
    <w:rsid w:val="00FF375F"/>
    <w:rsid w:val="03FF0010"/>
    <w:rsid w:val="0B5E5DFE"/>
    <w:rsid w:val="0CC42CDB"/>
    <w:rsid w:val="0F094E42"/>
    <w:rsid w:val="13C428CB"/>
    <w:rsid w:val="15113EE2"/>
    <w:rsid w:val="15565D98"/>
    <w:rsid w:val="16551BAC"/>
    <w:rsid w:val="1BED1C31"/>
    <w:rsid w:val="1FCF6E73"/>
    <w:rsid w:val="22441677"/>
    <w:rsid w:val="24077943"/>
    <w:rsid w:val="2A095180"/>
    <w:rsid w:val="30DB15C9"/>
    <w:rsid w:val="33D97E69"/>
    <w:rsid w:val="365F64C5"/>
    <w:rsid w:val="36CFABD4"/>
    <w:rsid w:val="38F7BC62"/>
    <w:rsid w:val="39D7BE08"/>
    <w:rsid w:val="3B032EB5"/>
    <w:rsid w:val="3C5AA734"/>
    <w:rsid w:val="3DF35E7F"/>
    <w:rsid w:val="3F3BAE3C"/>
    <w:rsid w:val="3F5A5065"/>
    <w:rsid w:val="3FFF65A9"/>
    <w:rsid w:val="44306C49"/>
    <w:rsid w:val="4A9A28DB"/>
    <w:rsid w:val="4EE74E68"/>
    <w:rsid w:val="4FBC1E54"/>
    <w:rsid w:val="50775690"/>
    <w:rsid w:val="51CD6815"/>
    <w:rsid w:val="535012D3"/>
    <w:rsid w:val="577B814B"/>
    <w:rsid w:val="579B3CF0"/>
    <w:rsid w:val="57EF7DC8"/>
    <w:rsid w:val="58AF799D"/>
    <w:rsid w:val="598B736C"/>
    <w:rsid w:val="5B2A28F1"/>
    <w:rsid w:val="5CDFFE59"/>
    <w:rsid w:val="60514C12"/>
    <w:rsid w:val="61356E89"/>
    <w:rsid w:val="623640E0"/>
    <w:rsid w:val="636B5B38"/>
    <w:rsid w:val="65BA1BDB"/>
    <w:rsid w:val="675F1D28"/>
    <w:rsid w:val="67F87649"/>
    <w:rsid w:val="68AE0CE2"/>
    <w:rsid w:val="69A668E3"/>
    <w:rsid w:val="6A235742"/>
    <w:rsid w:val="6B010E7A"/>
    <w:rsid w:val="75422A66"/>
    <w:rsid w:val="78C37D6C"/>
    <w:rsid w:val="79EE2DCB"/>
    <w:rsid w:val="7A2A61F7"/>
    <w:rsid w:val="D5FBE332"/>
    <w:rsid w:val="E1B3A14F"/>
    <w:rsid w:val="E5CD3B5A"/>
    <w:rsid w:val="F770F32B"/>
    <w:rsid w:val="FB9F060C"/>
    <w:rsid w:val="FD5F0B94"/>
    <w:rsid w:val="FE775FEC"/>
    <w:rsid w:val="FFF7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 w:cstheme="minorBidi"/>
      <w:kern w:val="2"/>
      <w:sz w:val="32"/>
      <w:szCs w:val="24"/>
      <w:lang w:val="en-US" w:eastAsia="zh-CN" w:bidi="ar-SA"/>
      <w14:ligatures w14:val="standardContextual"/>
    </w:rPr>
  </w:style>
  <w:style w:type="paragraph" w:styleId="2">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9"/>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3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5"/>
    <w:unhideWhenUsed/>
    <w:qFormat/>
    <w:uiPriority w:val="99"/>
  </w:style>
  <w:style w:type="paragraph" w:styleId="12">
    <w:name w:val="Body Text Indent"/>
    <w:basedOn w:val="1"/>
    <w:next w:val="1"/>
    <w:unhideWhenUsed/>
    <w:qFormat/>
    <w:uiPriority w:val="99"/>
    <w:pPr>
      <w:spacing w:after="120"/>
      <w:ind w:left="420" w:leftChars="200"/>
    </w:pPr>
  </w:style>
  <w:style w:type="paragraph" w:styleId="13">
    <w:name w:val="toc 3"/>
    <w:basedOn w:val="1"/>
    <w:next w:val="1"/>
    <w:unhideWhenUsed/>
    <w:qFormat/>
    <w:uiPriority w:val="39"/>
    <w:pPr>
      <w:ind w:left="840" w:leftChars="400"/>
    </w:pPr>
  </w:style>
  <w:style w:type="paragraph" w:styleId="14">
    <w:name w:val="Balloon Text"/>
    <w:basedOn w:val="1"/>
    <w:link w:val="62"/>
    <w:semiHidden/>
    <w:unhideWhenUsed/>
    <w:qFormat/>
    <w:uiPriority w:val="99"/>
    <w:rPr>
      <w:sz w:val="18"/>
      <w:szCs w:val="18"/>
    </w:rPr>
  </w:style>
  <w:style w:type="paragraph" w:styleId="15">
    <w:name w:val="footer"/>
    <w:basedOn w:val="1"/>
    <w:link w:val="47"/>
    <w:unhideWhenUsed/>
    <w:qFormat/>
    <w:uiPriority w:val="99"/>
    <w:pPr>
      <w:tabs>
        <w:tab w:val="center" w:pos="4153"/>
        <w:tab w:val="right" w:pos="8306"/>
      </w:tabs>
      <w:snapToGrid w:val="0"/>
    </w:pPr>
    <w:rPr>
      <w:sz w:val="18"/>
      <w:szCs w:val="18"/>
    </w:rPr>
  </w:style>
  <w:style w:type="paragraph" w:styleId="16">
    <w:name w:val="header"/>
    <w:basedOn w:val="1"/>
    <w:link w:val="46"/>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789"/>
      </w:tabs>
      <w:jc w:val="center"/>
    </w:pPr>
  </w:style>
  <w:style w:type="paragraph" w:styleId="18">
    <w:name w:val="Subtitle"/>
    <w:basedOn w:val="1"/>
    <w:next w:val="1"/>
    <w:link w:val="38"/>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unhideWhenUsed/>
    <w:qFormat/>
    <w:uiPriority w:val="39"/>
    <w:pPr>
      <w:tabs>
        <w:tab w:val="right" w:leader="dot" w:pos="8789"/>
      </w:tabs>
      <w:ind w:left="419" w:leftChars="131" w:firstLine="198" w:firstLineChars="62"/>
    </w:pPr>
  </w:style>
  <w:style w:type="paragraph" w:styleId="20">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56"/>
    <w:semiHidden/>
    <w:unhideWhenUsed/>
    <w:qFormat/>
    <w:uiPriority w:val="99"/>
    <w:rPr>
      <w:b/>
      <w:bCs/>
    </w:rPr>
  </w:style>
  <w:style w:type="paragraph" w:styleId="22">
    <w:name w:val="Body Text First Indent 2"/>
    <w:basedOn w:val="12"/>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467886"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标题 1 字符"/>
    <w:basedOn w:val="25"/>
    <w:link w:val="2"/>
    <w:qFormat/>
    <w:uiPriority w:val="9"/>
    <w:rPr>
      <w:rFonts w:asciiTheme="majorHAnsi" w:hAnsiTheme="majorHAnsi" w:eastAsiaTheme="majorEastAsia" w:cstheme="majorBidi"/>
      <w:color w:val="104862" w:themeColor="accent1" w:themeShade="BF"/>
      <w:sz w:val="48"/>
      <w:szCs w:val="48"/>
    </w:rPr>
  </w:style>
  <w:style w:type="character" w:customStyle="1" w:styleId="29">
    <w:name w:val="标题 2 字符"/>
    <w:basedOn w:val="2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0">
    <w:name w:val="标题 3 字符"/>
    <w:basedOn w:val="2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1">
    <w:name w:val="标题 4 字符"/>
    <w:basedOn w:val="25"/>
    <w:link w:val="5"/>
    <w:semiHidden/>
    <w:qFormat/>
    <w:uiPriority w:val="9"/>
    <w:rPr>
      <w:rFonts w:cstheme="majorBidi"/>
      <w:color w:val="104862" w:themeColor="accent1" w:themeShade="BF"/>
      <w:sz w:val="28"/>
      <w:szCs w:val="28"/>
    </w:rPr>
  </w:style>
  <w:style w:type="character" w:customStyle="1" w:styleId="32">
    <w:name w:val="标题 5 字符"/>
    <w:basedOn w:val="25"/>
    <w:link w:val="6"/>
    <w:semiHidden/>
    <w:qFormat/>
    <w:uiPriority w:val="9"/>
    <w:rPr>
      <w:rFonts w:cstheme="majorBidi"/>
      <w:color w:val="104862" w:themeColor="accent1" w:themeShade="BF"/>
      <w:sz w:val="24"/>
    </w:rPr>
  </w:style>
  <w:style w:type="character" w:customStyle="1" w:styleId="33">
    <w:name w:val="标题 6 字符"/>
    <w:basedOn w:val="25"/>
    <w:link w:val="7"/>
    <w:semiHidden/>
    <w:qFormat/>
    <w:uiPriority w:val="9"/>
    <w:rPr>
      <w:rFonts w:cstheme="majorBidi"/>
      <w:b/>
      <w:bCs/>
      <w:color w:val="104862" w:themeColor="accent1" w:themeShade="BF"/>
    </w:rPr>
  </w:style>
  <w:style w:type="character" w:customStyle="1" w:styleId="34">
    <w:name w:val="标题 7 字符"/>
    <w:basedOn w:val="2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0"/>
    <w:qFormat/>
    <w:uiPriority w:val="10"/>
    <w:rPr>
      <w:rFonts w:asciiTheme="majorHAnsi" w:hAnsiTheme="majorHAnsi" w:eastAsiaTheme="majorEastAsia" w:cstheme="majorBidi"/>
      <w:spacing w:val="-10"/>
      <w:kern w:val="28"/>
      <w:sz w:val="56"/>
      <w:szCs w:val="56"/>
    </w:rPr>
  </w:style>
  <w:style w:type="character" w:customStyle="1" w:styleId="38">
    <w:name w:val="副标题 字符"/>
    <w:basedOn w:val="25"/>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5"/>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contextualSpacing/>
    </w:pPr>
  </w:style>
  <w:style w:type="character" w:customStyle="1" w:styleId="42">
    <w:name w:val="明显强调1"/>
    <w:basedOn w:val="25"/>
    <w:qFormat/>
    <w:uiPriority w:val="21"/>
    <w:rPr>
      <w:i/>
      <w:iCs/>
      <w:color w:val="104862" w:themeColor="accent1" w:themeShade="BF"/>
    </w:rPr>
  </w:style>
  <w:style w:type="paragraph" w:styleId="43">
    <w:name w:val="Intense Quote"/>
    <w:basedOn w:val="1"/>
    <w:next w:val="1"/>
    <w:link w:val="4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4">
    <w:name w:val="明显引用 字符"/>
    <w:basedOn w:val="25"/>
    <w:link w:val="43"/>
    <w:qFormat/>
    <w:uiPriority w:val="30"/>
    <w:rPr>
      <w:i/>
      <w:iCs/>
      <w:color w:val="104862" w:themeColor="accent1" w:themeShade="BF"/>
    </w:rPr>
  </w:style>
  <w:style w:type="character" w:customStyle="1" w:styleId="45">
    <w:name w:val="明显参考1"/>
    <w:basedOn w:val="25"/>
    <w:qFormat/>
    <w:uiPriority w:val="32"/>
    <w:rPr>
      <w:b/>
      <w:bCs/>
      <w:smallCaps/>
      <w:color w:val="104862" w:themeColor="accent1" w:themeShade="BF"/>
      <w:spacing w:val="5"/>
    </w:rPr>
  </w:style>
  <w:style w:type="character" w:customStyle="1" w:styleId="46">
    <w:name w:val="页眉 字符"/>
    <w:basedOn w:val="25"/>
    <w:link w:val="16"/>
    <w:qFormat/>
    <w:uiPriority w:val="99"/>
    <w:rPr>
      <w:sz w:val="18"/>
      <w:szCs w:val="18"/>
    </w:rPr>
  </w:style>
  <w:style w:type="character" w:customStyle="1" w:styleId="47">
    <w:name w:val="页脚 字符"/>
    <w:basedOn w:val="25"/>
    <w:link w:val="15"/>
    <w:qFormat/>
    <w:uiPriority w:val="99"/>
    <w:rPr>
      <w:sz w:val="18"/>
      <w:szCs w:val="18"/>
    </w:rPr>
  </w:style>
  <w:style w:type="paragraph" w:customStyle="1" w:styleId="48">
    <w:name w:val="一级标题"/>
    <w:basedOn w:val="2"/>
    <w:next w:val="49"/>
    <w:qFormat/>
    <w:uiPriority w:val="0"/>
    <w:pPr>
      <w:spacing w:before="0" w:after="160"/>
      <w:jc w:val="center"/>
    </w:pPr>
    <w:rPr>
      <w:rFonts w:ascii="Times New Roman" w:hAnsi="Times New Roman" w:eastAsia="仿宋" w:cs="Times New Roman"/>
      <w:bCs/>
      <w:color w:val="auto"/>
      <w:kern w:val="0"/>
      <w:sz w:val="32"/>
      <w:szCs w:val="36"/>
      <w14:ligatures w14:val="none"/>
    </w:rPr>
  </w:style>
  <w:style w:type="paragraph" w:customStyle="1" w:styleId="49">
    <w:name w:val="二级标题"/>
    <w:basedOn w:val="3"/>
    <w:next w:val="50"/>
    <w:qFormat/>
    <w:uiPriority w:val="0"/>
    <w:pPr>
      <w:keepNext w:val="0"/>
      <w:keepLines w:val="0"/>
      <w:spacing w:before="100" w:beforeAutospacing="1" w:after="100" w:afterAutospacing="1" w:line="360" w:lineRule="auto"/>
    </w:pPr>
    <w:rPr>
      <w:rFonts w:ascii="Times New Roman" w:hAnsi="Times New Roman" w:eastAsia="宋体" w:cs="Times New Roman"/>
      <w:b/>
      <w:bCs/>
      <w:color w:val="auto"/>
      <w:kern w:val="0"/>
      <w:sz w:val="36"/>
      <w:szCs w:val="36"/>
      <w14:ligatures w14:val="none"/>
    </w:rPr>
  </w:style>
  <w:style w:type="paragraph" w:customStyle="1" w:styleId="50">
    <w:name w:val="三级标题"/>
    <w:basedOn w:val="4"/>
    <w:next w:val="1"/>
    <w:qFormat/>
    <w:uiPriority w:val="0"/>
    <w:rPr>
      <w:rFonts w:ascii="Times New Roman" w:hAnsi="Times New Roman" w:eastAsia="宋体"/>
      <w:b/>
      <w:color w:val="auto"/>
    </w:rPr>
  </w:style>
  <w:style w:type="paragraph" w:customStyle="1" w:styleId="51">
    <w:name w:val="附件"/>
    <w:basedOn w:val="2"/>
    <w:qFormat/>
    <w:uiPriority w:val="0"/>
    <w:rPr>
      <w:rFonts w:ascii="Times New Roman" w:hAnsi="Times New Roman" w:eastAsia="宋体"/>
      <w:b/>
      <w:color w:val="auto"/>
      <w:sz w:val="36"/>
    </w:rPr>
  </w:style>
  <w:style w:type="paragraph" w:customStyle="1" w:styleId="52">
    <w:name w:val="目录"/>
    <w:basedOn w:val="1"/>
    <w:qFormat/>
    <w:uiPriority w:val="0"/>
  </w:style>
  <w:style w:type="paragraph" w:customStyle="1" w:styleId="53">
    <w:name w:val="TOC 标题1"/>
    <w:basedOn w:val="2"/>
    <w:next w:val="1"/>
    <w:unhideWhenUsed/>
    <w:qFormat/>
    <w:uiPriority w:val="39"/>
    <w:pPr>
      <w:widowControl/>
      <w:spacing w:before="240" w:after="0" w:line="259" w:lineRule="auto"/>
      <w:outlineLvl w:val="9"/>
    </w:pPr>
    <w:rPr>
      <w:kern w:val="0"/>
      <w:sz w:val="32"/>
      <w:szCs w:val="32"/>
      <w14:ligatures w14:val="none"/>
    </w:rPr>
  </w:style>
  <w:style w:type="paragraph" w:customStyle="1" w:styleId="54">
    <w:name w:val="表内文字"/>
    <w:basedOn w:val="1"/>
    <w:qFormat/>
    <w:uiPriority w:val="0"/>
    <w:rPr>
      <w:sz w:val="24"/>
    </w:rPr>
  </w:style>
  <w:style w:type="character" w:customStyle="1" w:styleId="55">
    <w:name w:val="批注文字 字符"/>
    <w:basedOn w:val="25"/>
    <w:link w:val="11"/>
    <w:qFormat/>
    <w:uiPriority w:val="99"/>
    <w:rPr>
      <w:rFonts w:ascii="Times New Roman" w:hAnsi="Times New Roman" w:eastAsia="仿宋"/>
      <w:sz w:val="32"/>
    </w:rPr>
  </w:style>
  <w:style w:type="character" w:customStyle="1" w:styleId="56">
    <w:name w:val="批注主题 字符"/>
    <w:basedOn w:val="55"/>
    <w:link w:val="21"/>
    <w:semiHidden/>
    <w:qFormat/>
    <w:uiPriority w:val="99"/>
    <w:rPr>
      <w:rFonts w:ascii="Times New Roman" w:hAnsi="Times New Roman" w:eastAsia="仿宋"/>
      <w:b/>
      <w:bCs/>
      <w:sz w:val="32"/>
    </w:rPr>
  </w:style>
  <w:style w:type="paragraph" w:customStyle="1" w:styleId="57">
    <w:name w:val="修订1"/>
    <w:hidden/>
    <w:semiHidden/>
    <w:qFormat/>
    <w:uiPriority w:val="99"/>
    <w:rPr>
      <w:rFonts w:ascii="Times New Roman" w:hAnsi="Times New Roman" w:eastAsia="仿宋" w:cstheme="minorBidi"/>
      <w:kern w:val="2"/>
      <w:sz w:val="32"/>
      <w:szCs w:val="24"/>
      <w:lang w:val="en-US" w:eastAsia="zh-CN" w:bidi="ar-SA"/>
      <w14:ligatures w14:val="standardContextual"/>
    </w:rPr>
  </w:style>
  <w:style w:type="character" w:customStyle="1" w:styleId="58">
    <w:name w:val="font21"/>
    <w:basedOn w:val="25"/>
    <w:qFormat/>
    <w:uiPriority w:val="0"/>
    <w:rPr>
      <w:rFonts w:hint="eastAsia" w:ascii="微软雅黑" w:hAnsi="微软雅黑" w:eastAsia="微软雅黑" w:cs="微软雅黑"/>
      <w:color w:val="000000"/>
      <w:sz w:val="20"/>
      <w:szCs w:val="20"/>
      <w:u w:val="none"/>
    </w:rPr>
  </w:style>
  <w:style w:type="character" w:customStyle="1" w:styleId="59">
    <w:name w:val="font61"/>
    <w:basedOn w:val="25"/>
    <w:qFormat/>
    <w:uiPriority w:val="0"/>
    <w:rPr>
      <w:rFonts w:hint="eastAsia" w:ascii="宋体" w:hAnsi="宋体" w:eastAsia="宋体" w:cs="宋体"/>
      <w:color w:val="000000"/>
      <w:sz w:val="20"/>
      <w:szCs w:val="20"/>
      <w:u w:val="none"/>
    </w:rPr>
  </w:style>
  <w:style w:type="character" w:customStyle="1" w:styleId="60">
    <w:name w:val="font71"/>
    <w:basedOn w:val="25"/>
    <w:qFormat/>
    <w:uiPriority w:val="0"/>
    <w:rPr>
      <w:rFonts w:ascii="Arial" w:hAnsi="Arial" w:cs="Arial"/>
      <w:color w:val="000000"/>
      <w:sz w:val="20"/>
      <w:szCs w:val="20"/>
      <w:u w:val="none"/>
    </w:rPr>
  </w:style>
  <w:style w:type="paragraph" w:customStyle="1" w:styleId="61">
    <w:name w:val="HX-图表"/>
    <w:basedOn w:val="1"/>
    <w:qFormat/>
    <w:uiPriority w:val="0"/>
    <w:pPr>
      <w:jc w:val="center"/>
    </w:pPr>
    <w:rPr>
      <w:rFonts w:asciiTheme="minorHAnsi" w:hAnsiTheme="minorHAnsi" w:eastAsiaTheme="minorEastAsia"/>
      <w:szCs w:val="22"/>
    </w:rPr>
  </w:style>
  <w:style w:type="character" w:customStyle="1" w:styleId="62">
    <w:name w:val="批注框文本 字符"/>
    <w:basedOn w:val="25"/>
    <w:link w:val="14"/>
    <w:semiHidden/>
    <w:qFormat/>
    <w:uiPriority w:val="99"/>
    <w:rPr>
      <w:rFonts w:eastAsia="仿宋"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7009</Words>
  <Characters>7431</Characters>
  <Lines>62</Lines>
  <Paragraphs>17</Paragraphs>
  <TotalTime>111</TotalTime>
  <ScaleCrop>false</ScaleCrop>
  <LinksUpToDate>false</LinksUpToDate>
  <CharactersWithSpaces>7545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2024-11-21T12:04:00Z</dcterms:created>
  <dc:creator>子威 王</dc:creator>
  <cp:lastModifiedBy>xmadmin</cp:lastModifiedBy>
  <dcterms:modified xsi:type="dcterms:W3CDTF">2024-11-27T10:11:19Z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ABD097A0E7E84DAAAD8AA05A30BD1AE5_13</vt:lpwstr>
  </property>
</Properties>
</file>